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A2C" w:rsidRDefault="0044144A">
      <w:pPr>
        <w:widowControl/>
        <w:overflowPunct w:val="0"/>
        <w:autoSpaceDE w:val="0"/>
        <w:autoSpaceDN w:val="0"/>
        <w:adjustRightInd w:val="0"/>
        <w:snapToGrid w:val="0"/>
        <w:spacing w:line="360" w:lineRule="auto"/>
        <w:jc w:val="left"/>
        <w:textAlignment w:val="baseline"/>
        <w:rPr>
          <w:rFonts w:cs="Times New Roman"/>
          <w:snapToGrid w:val="0"/>
          <w:color w:val="000000" w:themeColor="text1"/>
          <w:kern w:val="0"/>
          <w:szCs w:val="21"/>
        </w:rPr>
      </w:pPr>
      <w:bookmarkStart w:id="0" w:name="_GoBack"/>
      <w:bookmarkEnd w:id="0"/>
      <w:r>
        <w:rPr>
          <w:rFonts w:cs="Times New Roman"/>
          <w:snapToGrid w:val="0"/>
          <w:color w:val="000000" w:themeColor="text1"/>
          <w:kern w:val="0"/>
          <w:szCs w:val="21"/>
        </w:rPr>
        <w:t>公司代码：</w:t>
      </w:r>
      <w:r>
        <w:rPr>
          <w:rFonts w:cs="Times New Roman"/>
          <w:snapToGrid w:val="0"/>
          <w:color w:val="000000" w:themeColor="text1"/>
          <w:kern w:val="0"/>
          <w:szCs w:val="21"/>
        </w:rPr>
        <w:t xml:space="preserve">000605           </w:t>
      </w:r>
      <w:r>
        <w:rPr>
          <w:rFonts w:cs="Times New Roman"/>
          <w:snapToGrid w:val="0"/>
          <w:color w:val="000000" w:themeColor="text1"/>
          <w:kern w:val="0"/>
          <w:szCs w:val="21"/>
        </w:rPr>
        <w:t>公司简称：渤海股份</w:t>
      </w:r>
      <w:r>
        <w:rPr>
          <w:rFonts w:cs="Times New Roman"/>
          <w:snapToGrid w:val="0"/>
          <w:color w:val="000000" w:themeColor="text1"/>
          <w:kern w:val="0"/>
          <w:szCs w:val="21"/>
        </w:rPr>
        <w:t xml:space="preserve">      </w:t>
      </w:r>
      <w:r>
        <w:rPr>
          <w:rFonts w:cs="Times New Roman"/>
          <w:snapToGrid w:val="0"/>
          <w:color w:val="000000" w:themeColor="text1"/>
          <w:kern w:val="0"/>
          <w:szCs w:val="21"/>
        </w:rPr>
        <w:t>公告编号：</w:t>
      </w:r>
      <w:r>
        <w:rPr>
          <w:rFonts w:cs="Times New Roman"/>
          <w:snapToGrid w:val="0"/>
          <w:color w:val="000000" w:themeColor="text1"/>
          <w:kern w:val="0"/>
          <w:szCs w:val="21"/>
        </w:rPr>
        <w:t>2024-006</w:t>
      </w:r>
    </w:p>
    <w:p w:rsidR="004C5A2C" w:rsidRDefault="0044144A">
      <w:pPr>
        <w:widowControl/>
        <w:overflowPunct w:val="0"/>
        <w:autoSpaceDE w:val="0"/>
        <w:autoSpaceDN w:val="0"/>
        <w:adjustRightInd w:val="0"/>
        <w:snapToGrid w:val="0"/>
        <w:spacing w:line="360" w:lineRule="auto"/>
        <w:jc w:val="center"/>
        <w:textAlignment w:val="baseline"/>
        <w:rPr>
          <w:rFonts w:eastAsia="等线" w:cs="Times New Roman"/>
          <w:snapToGrid w:val="0"/>
          <w:color w:val="000000"/>
          <w:kern w:val="0"/>
          <w:sz w:val="21"/>
          <w:szCs w:val="21"/>
        </w:rPr>
      </w:pPr>
      <w:r>
        <w:rPr>
          <w:rFonts w:eastAsia="等线" w:cs="Times New Roman"/>
          <w:noProof/>
          <w:snapToGrid w:val="0"/>
          <w:color w:val="000000"/>
          <w:kern w:val="0"/>
          <w:sz w:val="21"/>
          <w:szCs w:val="21"/>
        </w:rPr>
        <w:drawing>
          <wp:inline distT="0" distB="0" distL="0" distR="0">
            <wp:extent cx="2368550" cy="1905635"/>
            <wp:effectExtent l="0" t="0" r="317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382728" cy="1917395"/>
                    </a:xfrm>
                    <a:prstGeom prst="rect">
                      <a:avLst/>
                    </a:prstGeom>
                  </pic:spPr>
                </pic:pic>
              </a:graphicData>
            </a:graphic>
          </wp:inline>
        </w:drawing>
      </w:r>
    </w:p>
    <w:p w:rsidR="004C5A2C" w:rsidRDefault="004C5A2C">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4C5A2C" w:rsidRDefault="004C5A2C">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4C5A2C" w:rsidRDefault="004C5A2C">
      <w:pPr>
        <w:widowControl/>
        <w:overflowPunct w:val="0"/>
        <w:autoSpaceDE w:val="0"/>
        <w:autoSpaceDN w:val="0"/>
        <w:adjustRightInd w:val="0"/>
        <w:snapToGrid w:val="0"/>
        <w:spacing w:line="360" w:lineRule="auto"/>
        <w:jc w:val="left"/>
        <w:textAlignment w:val="baseline"/>
        <w:rPr>
          <w:rFonts w:eastAsia="Arial" w:cs="Times New Roman"/>
          <w:snapToGrid w:val="0"/>
          <w:color w:val="000000"/>
          <w:kern w:val="0"/>
          <w:sz w:val="21"/>
          <w:szCs w:val="21"/>
        </w:rPr>
      </w:pPr>
    </w:p>
    <w:p w:rsidR="004C5A2C" w:rsidRDefault="0044144A">
      <w:pPr>
        <w:widowControl/>
        <w:overflowPunct w:val="0"/>
        <w:autoSpaceDE w:val="0"/>
        <w:autoSpaceDN w:val="0"/>
        <w:adjustRightInd w:val="0"/>
        <w:snapToGrid w:val="0"/>
        <w:spacing w:line="360" w:lineRule="auto"/>
        <w:jc w:val="center"/>
        <w:textAlignment w:val="baseline"/>
        <w:rPr>
          <w:rFonts w:cs="Times New Roman"/>
          <w:b/>
          <w:snapToGrid w:val="0"/>
          <w:color w:val="000000"/>
          <w:kern w:val="0"/>
          <w:sz w:val="48"/>
          <w:szCs w:val="48"/>
        </w:rPr>
      </w:pPr>
      <w:r>
        <w:rPr>
          <w:rFonts w:cs="Times New Roman"/>
          <w:b/>
          <w:snapToGrid w:val="0"/>
          <w:color w:val="000000"/>
          <w:kern w:val="0"/>
          <w:sz w:val="48"/>
          <w:szCs w:val="48"/>
        </w:rPr>
        <w:t>渤海水业股份有限公司</w:t>
      </w:r>
    </w:p>
    <w:p w:rsidR="004C5A2C" w:rsidRDefault="004C5A2C">
      <w:pPr>
        <w:widowControl/>
        <w:overflowPunct w:val="0"/>
        <w:autoSpaceDE w:val="0"/>
        <w:autoSpaceDN w:val="0"/>
        <w:adjustRightInd w:val="0"/>
        <w:snapToGrid w:val="0"/>
        <w:spacing w:line="360" w:lineRule="auto"/>
        <w:jc w:val="center"/>
        <w:textAlignment w:val="baseline"/>
        <w:rPr>
          <w:rFonts w:eastAsiaTheme="minorEastAsia" w:cs="Times New Roman"/>
          <w:b/>
          <w:snapToGrid w:val="0"/>
          <w:color w:val="000000"/>
          <w:kern w:val="0"/>
          <w:sz w:val="21"/>
          <w:szCs w:val="21"/>
        </w:rPr>
      </w:pPr>
    </w:p>
    <w:p w:rsidR="004C5A2C" w:rsidRDefault="004C5A2C">
      <w:pPr>
        <w:widowControl/>
        <w:overflowPunct w:val="0"/>
        <w:autoSpaceDE w:val="0"/>
        <w:autoSpaceDN w:val="0"/>
        <w:adjustRightInd w:val="0"/>
        <w:snapToGrid w:val="0"/>
        <w:spacing w:line="360" w:lineRule="auto"/>
        <w:jc w:val="center"/>
        <w:textAlignment w:val="baseline"/>
        <w:rPr>
          <w:rFonts w:eastAsiaTheme="minorEastAsia" w:cs="Times New Roman"/>
          <w:b/>
          <w:snapToGrid w:val="0"/>
          <w:color w:val="000000"/>
          <w:kern w:val="0"/>
          <w:sz w:val="21"/>
          <w:szCs w:val="21"/>
        </w:rPr>
      </w:pPr>
    </w:p>
    <w:p w:rsidR="004C5A2C" w:rsidRDefault="0044144A">
      <w:pPr>
        <w:widowControl/>
        <w:overflowPunct w:val="0"/>
        <w:autoSpaceDE w:val="0"/>
        <w:autoSpaceDN w:val="0"/>
        <w:adjustRightInd w:val="0"/>
        <w:snapToGrid w:val="0"/>
        <w:spacing w:line="360" w:lineRule="auto"/>
        <w:ind w:leftChars="-100" w:left="-240" w:rightChars="-139" w:right="-334"/>
        <w:jc w:val="center"/>
        <w:textAlignment w:val="baseline"/>
        <w:rPr>
          <w:rFonts w:cs="Times New Roman"/>
          <w:b/>
          <w:snapToGrid w:val="0"/>
          <w:color w:val="000000"/>
          <w:kern w:val="0"/>
          <w:sz w:val="48"/>
          <w:szCs w:val="48"/>
        </w:rPr>
      </w:pPr>
      <w:r>
        <w:rPr>
          <w:rFonts w:cs="Times New Roman"/>
          <w:b/>
          <w:snapToGrid w:val="0"/>
          <w:color w:val="000000"/>
          <w:kern w:val="0"/>
          <w:sz w:val="48"/>
          <w:szCs w:val="48"/>
        </w:rPr>
        <w:t>关于公司</w:t>
      </w:r>
      <w:r>
        <w:rPr>
          <w:rFonts w:cs="Times New Roman"/>
          <w:b/>
          <w:snapToGrid w:val="0"/>
          <w:color w:val="000000"/>
          <w:kern w:val="0"/>
          <w:sz w:val="48"/>
          <w:szCs w:val="48"/>
        </w:rPr>
        <w:t>2024</w:t>
      </w:r>
      <w:r>
        <w:rPr>
          <w:rFonts w:cs="Times New Roman"/>
          <w:b/>
          <w:snapToGrid w:val="0"/>
          <w:color w:val="000000"/>
          <w:kern w:val="0"/>
          <w:sz w:val="48"/>
          <w:szCs w:val="48"/>
        </w:rPr>
        <w:t>年度以简易程序向特定对象发行股票</w:t>
      </w:r>
    </w:p>
    <w:p w:rsidR="004C5A2C" w:rsidRDefault="004C5A2C">
      <w:pPr>
        <w:widowControl/>
        <w:overflowPunct w:val="0"/>
        <w:autoSpaceDE w:val="0"/>
        <w:autoSpaceDN w:val="0"/>
        <w:adjustRightInd w:val="0"/>
        <w:snapToGrid w:val="0"/>
        <w:spacing w:line="360" w:lineRule="auto"/>
        <w:jc w:val="center"/>
        <w:textAlignment w:val="baseline"/>
        <w:rPr>
          <w:rFonts w:cs="Times New Roman"/>
          <w:b/>
          <w:snapToGrid w:val="0"/>
          <w:color w:val="000000"/>
          <w:kern w:val="0"/>
          <w:sz w:val="48"/>
          <w:szCs w:val="48"/>
        </w:rPr>
      </w:pPr>
    </w:p>
    <w:p w:rsidR="004C5A2C" w:rsidRDefault="0044144A">
      <w:pPr>
        <w:widowControl/>
        <w:overflowPunct w:val="0"/>
        <w:autoSpaceDE w:val="0"/>
        <w:autoSpaceDN w:val="0"/>
        <w:adjustRightInd w:val="0"/>
        <w:snapToGrid w:val="0"/>
        <w:spacing w:line="360" w:lineRule="auto"/>
        <w:jc w:val="center"/>
        <w:textAlignment w:val="baseline"/>
        <w:rPr>
          <w:rFonts w:cs="Times New Roman"/>
          <w:b/>
          <w:snapToGrid w:val="0"/>
          <w:color w:val="000000"/>
          <w:kern w:val="0"/>
          <w:sz w:val="48"/>
          <w:szCs w:val="48"/>
        </w:rPr>
      </w:pPr>
      <w:r>
        <w:rPr>
          <w:rFonts w:cs="Times New Roman"/>
          <w:b/>
          <w:snapToGrid w:val="0"/>
          <w:color w:val="000000"/>
          <w:kern w:val="0"/>
          <w:sz w:val="48"/>
          <w:szCs w:val="48"/>
        </w:rPr>
        <w:t>募集资金使用可行性分析报告</w:t>
      </w:r>
      <w:r>
        <w:rPr>
          <w:rFonts w:cs="Times New Roman"/>
          <w:b/>
          <w:snapToGrid w:val="0"/>
          <w:color w:val="000000"/>
          <w:kern w:val="0"/>
          <w:sz w:val="48"/>
          <w:szCs w:val="48"/>
        </w:rPr>
        <w:t xml:space="preserve"> </w:t>
      </w:r>
    </w:p>
    <w:p w:rsidR="004C5A2C" w:rsidRDefault="004C5A2C">
      <w:pPr>
        <w:widowControl/>
        <w:overflowPunct w:val="0"/>
        <w:autoSpaceDE w:val="0"/>
        <w:autoSpaceDN w:val="0"/>
        <w:adjustRightInd w:val="0"/>
        <w:snapToGrid w:val="0"/>
        <w:spacing w:line="360" w:lineRule="auto"/>
        <w:jc w:val="center"/>
        <w:textAlignment w:val="baseline"/>
        <w:rPr>
          <w:rFonts w:cs="Times New Roman"/>
          <w:b/>
          <w:snapToGrid w:val="0"/>
          <w:color w:val="000000"/>
          <w:kern w:val="0"/>
          <w:sz w:val="48"/>
          <w:szCs w:val="48"/>
        </w:rPr>
      </w:pPr>
    </w:p>
    <w:p w:rsidR="004C5A2C" w:rsidRDefault="004C5A2C">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4C5A2C" w:rsidRDefault="004C5A2C">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4C5A2C" w:rsidRDefault="004C5A2C">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4C5A2C" w:rsidRDefault="004C5A2C">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4C5A2C" w:rsidRDefault="004C5A2C">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4C5A2C" w:rsidRDefault="004C5A2C">
      <w:pPr>
        <w:widowControl/>
        <w:overflowPunct w:val="0"/>
        <w:autoSpaceDE w:val="0"/>
        <w:autoSpaceDN w:val="0"/>
        <w:adjustRightInd w:val="0"/>
        <w:snapToGrid w:val="0"/>
        <w:spacing w:line="360" w:lineRule="auto"/>
        <w:jc w:val="left"/>
        <w:textAlignment w:val="baseline"/>
        <w:rPr>
          <w:rFonts w:eastAsia="等线" w:cs="Times New Roman"/>
          <w:snapToGrid w:val="0"/>
          <w:color w:val="000000"/>
          <w:kern w:val="0"/>
          <w:sz w:val="21"/>
          <w:szCs w:val="21"/>
        </w:rPr>
      </w:pPr>
    </w:p>
    <w:p w:rsidR="004C5A2C" w:rsidRDefault="0044144A">
      <w:pPr>
        <w:widowControl/>
        <w:overflowPunct w:val="0"/>
        <w:autoSpaceDE w:val="0"/>
        <w:autoSpaceDN w:val="0"/>
        <w:adjustRightInd w:val="0"/>
        <w:snapToGrid w:val="0"/>
        <w:spacing w:line="360" w:lineRule="auto"/>
        <w:jc w:val="center"/>
        <w:textAlignment w:val="baseline"/>
        <w:rPr>
          <w:rFonts w:cs="Times New Roman"/>
          <w:b/>
          <w:snapToGrid w:val="0"/>
          <w:color w:val="000000"/>
          <w:kern w:val="0"/>
          <w:sz w:val="28"/>
          <w:szCs w:val="32"/>
        </w:rPr>
      </w:pPr>
      <w:r>
        <w:rPr>
          <w:rFonts w:cs="Times New Roman"/>
          <w:b/>
          <w:snapToGrid w:val="0"/>
          <w:color w:val="000000"/>
          <w:kern w:val="0"/>
          <w:sz w:val="28"/>
          <w:szCs w:val="32"/>
        </w:rPr>
        <w:t>二〇二四年一月</w:t>
      </w:r>
    </w:p>
    <w:p w:rsidR="004C5A2C" w:rsidRDefault="004C5A2C">
      <w:pPr>
        <w:spacing w:beforeLines="50" w:before="156" w:afterLines="50" w:after="156" w:line="360" w:lineRule="auto"/>
        <w:ind w:firstLineChars="200" w:firstLine="480"/>
        <w:rPr>
          <w:rFonts w:cs="Times New Roman"/>
        </w:rPr>
        <w:sectPr w:rsidR="004C5A2C">
          <w:footerReference w:type="default" r:id="rId7"/>
          <w:pgSz w:w="11906" w:h="16838"/>
          <w:pgMar w:top="1440" w:right="1800" w:bottom="1440" w:left="1800" w:header="851" w:footer="992" w:gutter="0"/>
          <w:cols w:space="425"/>
          <w:docGrid w:type="lines" w:linePitch="312"/>
        </w:sectPr>
      </w:pPr>
    </w:p>
    <w:p w:rsidR="004C5A2C" w:rsidRDefault="0044144A">
      <w:pPr>
        <w:spacing w:beforeLines="50" w:before="156" w:afterLines="50" w:after="156" w:line="360" w:lineRule="auto"/>
        <w:ind w:firstLineChars="200" w:firstLine="480"/>
        <w:rPr>
          <w:rFonts w:cs="Times New Roman"/>
        </w:rPr>
      </w:pPr>
      <w:r>
        <w:rPr>
          <w:rFonts w:cs="Times New Roman"/>
        </w:rPr>
        <w:lastRenderedPageBreak/>
        <w:t>为提升渤海水业股份有限公司（以下简称</w:t>
      </w:r>
      <w:r>
        <w:rPr>
          <w:rFonts w:cs="Times New Roman" w:hint="eastAsia"/>
        </w:rPr>
        <w:t>“</w:t>
      </w:r>
      <w:r>
        <w:rPr>
          <w:rFonts w:cs="Times New Roman"/>
        </w:rPr>
        <w:t>公司</w:t>
      </w:r>
      <w:r>
        <w:rPr>
          <w:rFonts w:cs="Times New Roman" w:hint="eastAsia"/>
        </w:rPr>
        <w:t>”</w:t>
      </w:r>
      <w:r>
        <w:rPr>
          <w:rFonts w:cs="Times New Roman"/>
        </w:rPr>
        <w:t>）的核心竞争力，增强公司营运能力、优化资产结构，公司拟以简易程序向特定对象发行股票（以下简称</w:t>
      </w:r>
      <w:r>
        <w:rPr>
          <w:rFonts w:cs="Times New Roman" w:hint="eastAsia"/>
        </w:rPr>
        <w:t>“</w:t>
      </w:r>
      <w:r>
        <w:rPr>
          <w:rFonts w:cs="Times New Roman"/>
        </w:rPr>
        <w:t>本次发行</w:t>
      </w:r>
      <w:r>
        <w:rPr>
          <w:rFonts w:cs="Times New Roman" w:hint="eastAsia"/>
        </w:rPr>
        <w:t>”</w:t>
      </w:r>
      <w:r>
        <w:rPr>
          <w:rFonts w:cs="Times New Roman"/>
        </w:rPr>
        <w:t>）募集资金。公司董事会对本次发行募集资金使用的可行性分析如下：</w:t>
      </w:r>
    </w:p>
    <w:p w:rsidR="004C5A2C" w:rsidRDefault="0044144A">
      <w:pPr>
        <w:pStyle w:val="2"/>
        <w:spacing w:before="120" w:after="120" w:line="360" w:lineRule="auto"/>
        <w:rPr>
          <w:rFonts w:ascii="Times New Roman" w:eastAsia="黑体" w:hAnsi="Times New Roman" w:cs="Times New Roman"/>
          <w:sz w:val="28"/>
        </w:rPr>
      </w:pPr>
      <w:bookmarkStart w:id="1" w:name="_Toc146198217"/>
      <w:r>
        <w:rPr>
          <w:rFonts w:ascii="Times New Roman" w:eastAsia="黑体" w:hAnsi="Times New Roman" w:cs="Times New Roman"/>
          <w:sz w:val="28"/>
        </w:rPr>
        <w:t>一、本次发行募集资金投资计划</w:t>
      </w:r>
      <w:bookmarkEnd w:id="1"/>
      <w:r>
        <w:rPr>
          <w:rFonts w:ascii="Times New Roman" w:eastAsia="黑体" w:hAnsi="Times New Roman" w:cs="Times New Roman"/>
          <w:sz w:val="28"/>
        </w:rPr>
        <w:tab/>
      </w:r>
    </w:p>
    <w:p w:rsidR="004C5A2C" w:rsidRDefault="0044144A">
      <w:pPr>
        <w:spacing w:beforeLines="50" w:before="156" w:afterLines="50" w:after="156" w:line="360" w:lineRule="auto"/>
        <w:ind w:firstLineChars="200" w:firstLine="480"/>
        <w:rPr>
          <w:rFonts w:cs="Times New Roman"/>
        </w:rPr>
      </w:pPr>
      <w:r>
        <w:rPr>
          <w:rFonts w:cs="Times New Roman"/>
        </w:rPr>
        <w:t>公司本次以简易程序向特定对象发行股票的募集资金总额不超过</w:t>
      </w:r>
      <w:r>
        <w:rPr>
          <w:rFonts w:cs="Times New Roman"/>
        </w:rPr>
        <w:t>30,000.00</w:t>
      </w:r>
      <w:r>
        <w:rPr>
          <w:rFonts w:cs="Times New Roman"/>
        </w:rPr>
        <w:t>万元（含本数），扣除发行费用后拟将募集资金全部用于以下项目：</w:t>
      </w:r>
    </w:p>
    <w:p w:rsidR="004C5A2C" w:rsidRDefault="004C5A2C">
      <w:pPr>
        <w:widowControl/>
        <w:kinsoku w:val="0"/>
        <w:autoSpaceDE w:val="0"/>
        <w:autoSpaceDN w:val="0"/>
        <w:adjustRightInd w:val="0"/>
        <w:snapToGrid w:val="0"/>
        <w:spacing w:line="144" w:lineRule="auto"/>
        <w:jc w:val="left"/>
        <w:textAlignment w:val="baseline"/>
        <w:rPr>
          <w:rFonts w:eastAsia="Arial" w:cs="Times New Roman"/>
          <w:snapToGrid w:val="0"/>
          <w:color w:val="000000"/>
          <w:kern w:val="0"/>
          <w:sz w:val="2"/>
          <w:szCs w:val="21"/>
        </w:rPr>
      </w:pPr>
    </w:p>
    <w:tbl>
      <w:tblPr>
        <w:tblStyle w:val="TableNormal"/>
        <w:tblW w:w="4965"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47"/>
        <w:gridCol w:w="3745"/>
        <w:gridCol w:w="1821"/>
        <w:gridCol w:w="2005"/>
      </w:tblGrid>
      <w:tr w:rsidR="004C5A2C" w:rsidTr="00201635">
        <w:trPr>
          <w:trHeight w:val="413"/>
        </w:trPr>
        <w:tc>
          <w:tcPr>
            <w:tcW w:w="393" w:type="pct"/>
            <w:tcBorders>
              <w:tl2br w:val="nil"/>
              <w:tr2bl w:val="nil"/>
            </w:tcBorders>
            <w:vAlign w:val="center"/>
          </w:tcPr>
          <w:p w:rsidR="004C5A2C" w:rsidRDefault="0044144A">
            <w:pPr>
              <w:widowControl/>
              <w:jc w:val="center"/>
              <w:rPr>
                <w:rFonts w:cs="Times New Roman"/>
                <w:b/>
                <w:bCs/>
                <w:color w:val="000000" w:themeColor="text1"/>
                <w:sz w:val="21"/>
                <w:szCs w:val="21"/>
                <w:lang w:eastAsia="en-US"/>
              </w:rPr>
            </w:pPr>
            <w:r>
              <w:rPr>
                <w:rFonts w:cs="Times New Roman"/>
                <w:b/>
                <w:bCs/>
                <w:color w:val="000000" w:themeColor="text1"/>
                <w:sz w:val="21"/>
                <w:szCs w:val="21"/>
                <w:lang w:eastAsia="en-US"/>
              </w:rPr>
              <w:t>序号</w:t>
            </w:r>
          </w:p>
        </w:tc>
        <w:tc>
          <w:tcPr>
            <w:tcW w:w="2277" w:type="pct"/>
            <w:tcBorders>
              <w:tl2br w:val="nil"/>
              <w:tr2bl w:val="nil"/>
            </w:tcBorders>
            <w:vAlign w:val="center"/>
          </w:tcPr>
          <w:p w:rsidR="004C5A2C" w:rsidRDefault="0044144A">
            <w:pPr>
              <w:widowControl/>
              <w:jc w:val="center"/>
              <w:rPr>
                <w:rFonts w:cs="Times New Roman"/>
                <w:b/>
                <w:bCs/>
                <w:color w:val="000000" w:themeColor="text1"/>
                <w:sz w:val="21"/>
                <w:szCs w:val="21"/>
                <w:lang w:eastAsia="en-US"/>
              </w:rPr>
            </w:pPr>
            <w:r>
              <w:rPr>
                <w:rFonts w:cs="Times New Roman"/>
                <w:b/>
                <w:bCs/>
                <w:color w:val="000000" w:themeColor="text1"/>
                <w:sz w:val="21"/>
                <w:szCs w:val="21"/>
                <w:lang w:eastAsia="en-US"/>
              </w:rPr>
              <w:t>项目名称</w:t>
            </w:r>
          </w:p>
        </w:tc>
        <w:tc>
          <w:tcPr>
            <w:tcW w:w="1108" w:type="pct"/>
            <w:tcBorders>
              <w:tl2br w:val="nil"/>
              <w:tr2bl w:val="nil"/>
            </w:tcBorders>
            <w:vAlign w:val="center"/>
          </w:tcPr>
          <w:p w:rsidR="004C5A2C" w:rsidRDefault="0044144A">
            <w:pPr>
              <w:widowControl/>
              <w:jc w:val="center"/>
              <w:rPr>
                <w:rFonts w:cs="Times New Roman"/>
                <w:b/>
                <w:bCs/>
                <w:color w:val="000000" w:themeColor="text1"/>
                <w:sz w:val="21"/>
                <w:szCs w:val="21"/>
                <w:lang w:eastAsia="en-US"/>
              </w:rPr>
            </w:pPr>
            <w:r>
              <w:rPr>
                <w:rFonts w:cs="Times New Roman"/>
                <w:b/>
                <w:bCs/>
                <w:color w:val="000000" w:themeColor="text1"/>
                <w:sz w:val="21"/>
                <w:szCs w:val="21"/>
                <w:lang w:eastAsia="en-US"/>
              </w:rPr>
              <w:t>拟投资总额</w:t>
            </w:r>
          </w:p>
          <w:p w:rsidR="004C5A2C" w:rsidRDefault="0044144A">
            <w:pPr>
              <w:widowControl/>
              <w:jc w:val="center"/>
              <w:rPr>
                <w:rFonts w:cs="Times New Roman"/>
                <w:b/>
                <w:bCs/>
                <w:color w:val="000000" w:themeColor="text1"/>
                <w:sz w:val="21"/>
                <w:szCs w:val="21"/>
                <w:lang w:eastAsia="en-US"/>
              </w:rPr>
            </w:pPr>
            <w:r>
              <w:rPr>
                <w:rFonts w:cs="Times New Roman"/>
                <w:b/>
                <w:bCs/>
                <w:color w:val="000000" w:themeColor="text1"/>
                <w:sz w:val="21"/>
                <w:szCs w:val="21"/>
              </w:rPr>
              <w:t>（万元）</w:t>
            </w:r>
          </w:p>
        </w:tc>
        <w:tc>
          <w:tcPr>
            <w:tcW w:w="1220" w:type="pct"/>
            <w:tcBorders>
              <w:tl2br w:val="nil"/>
              <w:tr2bl w:val="nil"/>
            </w:tcBorders>
            <w:vAlign w:val="center"/>
          </w:tcPr>
          <w:p w:rsidR="004C5A2C" w:rsidRDefault="0044144A">
            <w:pPr>
              <w:widowControl/>
              <w:jc w:val="center"/>
              <w:rPr>
                <w:rFonts w:cs="Times New Roman"/>
                <w:b/>
                <w:bCs/>
                <w:color w:val="000000" w:themeColor="text1"/>
                <w:sz w:val="21"/>
                <w:szCs w:val="21"/>
              </w:rPr>
            </w:pPr>
            <w:r>
              <w:rPr>
                <w:rFonts w:cs="Times New Roman"/>
                <w:b/>
                <w:bCs/>
                <w:color w:val="000000" w:themeColor="text1"/>
                <w:sz w:val="21"/>
                <w:szCs w:val="21"/>
              </w:rPr>
              <w:t>拟投入募集资金金额（万元）</w:t>
            </w:r>
          </w:p>
        </w:tc>
      </w:tr>
      <w:tr w:rsidR="004C5A2C" w:rsidTr="00201635">
        <w:trPr>
          <w:trHeight w:val="353"/>
        </w:trPr>
        <w:tc>
          <w:tcPr>
            <w:tcW w:w="393" w:type="pct"/>
            <w:tcBorders>
              <w:tl2br w:val="nil"/>
              <w:tr2bl w:val="nil"/>
            </w:tcBorders>
            <w:vAlign w:val="center"/>
          </w:tcPr>
          <w:p w:rsidR="004C5A2C" w:rsidRDefault="0044144A">
            <w:pPr>
              <w:widowControl/>
              <w:jc w:val="center"/>
              <w:rPr>
                <w:rFonts w:cs="Times New Roman"/>
                <w:color w:val="000000" w:themeColor="text1"/>
                <w:sz w:val="21"/>
                <w:szCs w:val="21"/>
                <w:lang w:eastAsia="en-US"/>
              </w:rPr>
            </w:pPr>
            <w:r>
              <w:rPr>
                <w:rFonts w:cs="Times New Roman"/>
                <w:color w:val="000000" w:themeColor="text1"/>
                <w:sz w:val="21"/>
                <w:szCs w:val="21"/>
                <w:lang w:eastAsia="en-US"/>
              </w:rPr>
              <w:t>1</w:t>
            </w:r>
          </w:p>
        </w:tc>
        <w:tc>
          <w:tcPr>
            <w:tcW w:w="2277" w:type="pct"/>
            <w:tcBorders>
              <w:tl2br w:val="nil"/>
              <w:tr2bl w:val="nil"/>
            </w:tcBorders>
            <w:vAlign w:val="center"/>
          </w:tcPr>
          <w:p w:rsidR="004C5A2C" w:rsidRDefault="0044144A">
            <w:pPr>
              <w:widowControl/>
              <w:jc w:val="left"/>
              <w:rPr>
                <w:rFonts w:cs="Times New Roman"/>
                <w:color w:val="000000" w:themeColor="text1"/>
                <w:sz w:val="21"/>
                <w:szCs w:val="21"/>
              </w:rPr>
            </w:pPr>
            <w:r>
              <w:rPr>
                <w:rFonts w:cs="Times New Roman"/>
                <w:color w:val="000000" w:themeColor="text1"/>
                <w:sz w:val="21"/>
                <w:szCs w:val="21"/>
              </w:rPr>
              <w:t>宝坻新城第二水厂工程（一期）项目</w:t>
            </w:r>
          </w:p>
        </w:tc>
        <w:tc>
          <w:tcPr>
            <w:tcW w:w="1108" w:type="pct"/>
            <w:tcBorders>
              <w:tl2br w:val="nil"/>
              <w:tr2bl w:val="nil"/>
            </w:tcBorders>
            <w:vAlign w:val="center"/>
          </w:tcPr>
          <w:p w:rsidR="004C5A2C" w:rsidRDefault="0044144A">
            <w:pPr>
              <w:widowControl/>
              <w:tabs>
                <w:tab w:val="left" w:pos="1680"/>
              </w:tabs>
              <w:ind w:rightChars="59" w:right="142"/>
              <w:jc w:val="right"/>
              <w:rPr>
                <w:rFonts w:cs="Times New Roman"/>
                <w:color w:val="000000" w:themeColor="text1"/>
                <w:sz w:val="21"/>
                <w:szCs w:val="21"/>
              </w:rPr>
            </w:pPr>
            <w:r>
              <w:rPr>
                <w:rFonts w:cs="Times New Roman"/>
                <w:color w:val="000000" w:themeColor="text1"/>
                <w:sz w:val="21"/>
                <w:szCs w:val="21"/>
              </w:rPr>
              <w:t>37,839.85</w:t>
            </w:r>
          </w:p>
        </w:tc>
        <w:tc>
          <w:tcPr>
            <w:tcW w:w="1220" w:type="pct"/>
            <w:tcBorders>
              <w:tl2br w:val="nil"/>
              <w:tr2bl w:val="nil"/>
            </w:tcBorders>
            <w:vAlign w:val="center"/>
          </w:tcPr>
          <w:p w:rsidR="004C5A2C" w:rsidRDefault="0044144A">
            <w:pPr>
              <w:widowControl/>
              <w:ind w:rightChars="34" w:right="82"/>
              <w:jc w:val="right"/>
              <w:rPr>
                <w:rFonts w:cs="Times New Roman"/>
                <w:color w:val="000000" w:themeColor="text1"/>
                <w:sz w:val="21"/>
                <w:szCs w:val="21"/>
                <w:lang w:eastAsia="en-US"/>
              </w:rPr>
            </w:pPr>
            <w:r>
              <w:rPr>
                <w:rFonts w:cs="Times New Roman"/>
                <w:color w:val="000000" w:themeColor="text1"/>
                <w:sz w:val="21"/>
                <w:szCs w:val="21"/>
              </w:rPr>
              <w:t>21</w:t>
            </w:r>
            <w:r>
              <w:rPr>
                <w:rFonts w:cs="Times New Roman"/>
                <w:color w:val="000000" w:themeColor="text1"/>
                <w:sz w:val="21"/>
                <w:szCs w:val="21"/>
                <w:lang w:eastAsia="en-US"/>
              </w:rPr>
              <w:t>,000.00</w:t>
            </w:r>
          </w:p>
        </w:tc>
      </w:tr>
      <w:tr w:rsidR="004C5A2C" w:rsidTr="00201635">
        <w:trPr>
          <w:trHeight w:val="353"/>
        </w:trPr>
        <w:tc>
          <w:tcPr>
            <w:tcW w:w="393" w:type="pct"/>
            <w:tcBorders>
              <w:tl2br w:val="nil"/>
              <w:tr2bl w:val="nil"/>
            </w:tcBorders>
            <w:vAlign w:val="center"/>
          </w:tcPr>
          <w:p w:rsidR="004C5A2C" w:rsidRDefault="0044144A">
            <w:pPr>
              <w:widowControl/>
              <w:jc w:val="center"/>
              <w:rPr>
                <w:rFonts w:cs="Times New Roman"/>
                <w:color w:val="000000" w:themeColor="text1"/>
                <w:sz w:val="21"/>
                <w:szCs w:val="21"/>
              </w:rPr>
            </w:pPr>
            <w:r>
              <w:rPr>
                <w:rFonts w:cs="Times New Roman"/>
                <w:color w:val="000000" w:themeColor="text1"/>
                <w:sz w:val="21"/>
                <w:szCs w:val="21"/>
              </w:rPr>
              <w:t>2</w:t>
            </w:r>
          </w:p>
        </w:tc>
        <w:tc>
          <w:tcPr>
            <w:tcW w:w="2277" w:type="pct"/>
            <w:tcBorders>
              <w:tl2br w:val="nil"/>
              <w:tr2bl w:val="nil"/>
            </w:tcBorders>
            <w:vAlign w:val="center"/>
          </w:tcPr>
          <w:p w:rsidR="004C5A2C" w:rsidRDefault="0044144A">
            <w:pPr>
              <w:widowControl/>
              <w:jc w:val="left"/>
              <w:rPr>
                <w:rFonts w:cs="Times New Roman"/>
                <w:color w:val="000000" w:themeColor="text1"/>
                <w:sz w:val="21"/>
                <w:szCs w:val="21"/>
              </w:rPr>
            </w:pPr>
            <w:r>
              <w:rPr>
                <w:rFonts w:cs="Times New Roman"/>
                <w:color w:val="000000" w:themeColor="text1"/>
                <w:sz w:val="21"/>
                <w:szCs w:val="21"/>
              </w:rPr>
              <w:t>补充流动资金</w:t>
            </w:r>
          </w:p>
        </w:tc>
        <w:tc>
          <w:tcPr>
            <w:tcW w:w="1108" w:type="pct"/>
            <w:tcBorders>
              <w:tl2br w:val="nil"/>
              <w:tr2bl w:val="nil"/>
            </w:tcBorders>
            <w:vAlign w:val="bottom"/>
          </w:tcPr>
          <w:p w:rsidR="004C5A2C" w:rsidRDefault="0044144A">
            <w:pPr>
              <w:widowControl/>
              <w:tabs>
                <w:tab w:val="left" w:pos="1680"/>
              </w:tabs>
              <w:ind w:rightChars="59" w:right="142"/>
              <w:jc w:val="right"/>
              <w:rPr>
                <w:rFonts w:cs="Times New Roman"/>
                <w:color w:val="000000" w:themeColor="text1"/>
                <w:sz w:val="21"/>
                <w:szCs w:val="21"/>
              </w:rPr>
            </w:pPr>
            <w:r>
              <w:rPr>
                <w:rFonts w:cs="Times New Roman"/>
                <w:color w:val="000000" w:themeColor="text1"/>
                <w:sz w:val="21"/>
                <w:szCs w:val="21"/>
              </w:rPr>
              <w:t>9,000.00</w:t>
            </w:r>
          </w:p>
        </w:tc>
        <w:tc>
          <w:tcPr>
            <w:tcW w:w="1220" w:type="pct"/>
            <w:tcBorders>
              <w:tl2br w:val="nil"/>
              <w:tr2bl w:val="nil"/>
            </w:tcBorders>
            <w:vAlign w:val="center"/>
          </w:tcPr>
          <w:p w:rsidR="004C5A2C" w:rsidRDefault="0044144A">
            <w:pPr>
              <w:widowControl/>
              <w:ind w:rightChars="34" w:right="82"/>
              <w:jc w:val="right"/>
              <w:rPr>
                <w:rFonts w:cs="Times New Roman"/>
                <w:color w:val="000000" w:themeColor="text1"/>
                <w:sz w:val="21"/>
                <w:szCs w:val="21"/>
              </w:rPr>
            </w:pPr>
            <w:r>
              <w:rPr>
                <w:rFonts w:cs="Times New Roman"/>
                <w:color w:val="000000" w:themeColor="text1"/>
                <w:sz w:val="21"/>
                <w:szCs w:val="21"/>
              </w:rPr>
              <w:t>9,000.00</w:t>
            </w:r>
          </w:p>
        </w:tc>
      </w:tr>
      <w:tr w:rsidR="004C5A2C" w:rsidTr="00201635">
        <w:trPr>
          <w:trHeight w:val="411"/>
        </w:trPr>
        <w:tc>
          <w:tcPr>
            <w:tcW w:w="2671" w:type="pct"/>
            <w:gridSpan w:val="2"/>
            <w:tcBorders>
              <w:tl2br w:val="nil"/>
              <w:tr2bl w:val="nil"/>
            </w:tcBorders>
            <w:vAlign w:val="center"/>
          </w:tcPr>
          <w:p w:rsidR="004C5A2C" w:rsidRDefault="0044144A">
            <w:pPr>
              <w:widowControl/>
              <w:jc w:val="center"/>
              <w:rPr>
                <w:rFonts w:cs="Times New Roman"/>
                <w:b/>
                <w:bCs/>
                <w:color w:val="000000" w:themeColor="text1"/>
                <w:szCs w:val="24"/>
                <w:lang w:eastAsia="en-US"/>
              </w:rPr>
            </w:pPr>
            <w:r>
              <w:rPr>
                <w:rFonts w:cs="Times New Roman"/>
                <w:b/>
                <w:bCs/>
                <w:color w:val="000000" w:themeColor="text1"/>
                <w:szCs w:val="24"/>
                <w:lang w:eastAsia="en-US"/>
              </w:rPr>
              <w:t>合计</w:t>
            </w:r>
          </w:p>
        </w:tc>
        <w:tc>
          <w:tcPr>
            <w:tcW w:w="1108" w:type="pct"/>
            <w:tcBorders>
              <w:tl2br w:val="nil"/>
              <w:tr2bl w:val="nil"/>
            </w:tcBorders>
            <w:vAlign w:val="center"/>
          </w:tcPr>
          <w:p w:rsidR="004C5A2C" w:rsidRDefault="0044144A">
            <w:pPr>
              <w:widowControl/>
              <w:ind w:rightChars="34" w:right="82"/>
              <w:jc w:val="right"/>
              <w:rPr>
                <w:rFonts w:cs="Times New Roman"/>
                <w:b/>
                <w:bCs/>
                <w:color w:val="000000" w:themeColor="text1"/>
                <w:szCs w:val="24"/>
                <w:lang w:eastAsia="en-US"/>
              </w:rPr>
            </w:pPr>
            <w:r>
              <w:rPr>
                <w:rFonts w:cs="Times New Roman"/>
                <w:b/>
                <w:bCs/>
                <w:color w:val="000000" w:themeColor="text1"/>
                <w:szCs w:val="24"/>
                <w:lang w:eastAsia="en-US"/>
              </w:rPr>
              <w:t>46,839.85</w:t>
            </w:r>
          </w:p>
        </w:tc>
        <w:tc>
          <w:tcPr>
            <w:tcW w:w="1220" w:type="pct"/>
            <w:tcBorders>
              <w:tl2br w:val="nil"/>
              <w:tr2bl w:val="nil"/>
            </w:tcBorders>
            <w:vAlign w:val="center"/>
          </w:tcPr>
          <w:p w:rsidR="004C5A2C" w:rsidRDefault="0044144A">
            <w:pPr>
              <w:widowControl/>
              <w:ind w:rightChars="34" w:right="82"/>
              <w:jc w:val="right"/>
              <w:rPr>
                <w:rFonts w:cs="Times New Roman"/>
                <w:b/>
                <w:bCs/>
                <w:color w:val="000000" w:themeColor="text1"/>
                <w:szCs w:val="24"/>
                <w:lang w:eastAsia="en-US"/>
              </w:rPr>
            </w:pPr>
            <w:r>
              <w:rPr>
                <w:rFonts w:cs="Times New Roman"/>
                <w:b/>
                <w:bCs/>
                <w:color w:val="000000" w:themeColor="text1"/>
                <w:szCs w:val="24"/>
                <w:lang w:eastAsia="en-US"/>
              </w:rPr>
              <w:t>30,000.00</w:t>
            </w:r>
          </w:p>
        </w:tc>
      </w:tr>
    </w:tbl>
    <w:p w:rsidR="004C5A2C" w:rsidRDefault="0044144A">
      <w:pPr>
        <w:spacing w:beforeLines="50" w:before="156" w:afterLines="50" w:after="156" w:line="360" w:lineRule="auto"/>
        <w:ind w:firstLineChars="200" w:firstLine="480"/>
        <w:rPr>
          <w:rFonts w:cs="Times New Roman"/>
        </w:rPr>
      </w:pPr>
      <w:r>
        <w:rPr>
          <w:rFonts w:cs="Times New Roman"/>
        </w:rPr>
        <w:t>在本次发行股票募集资金到位前，公司将根据经营状况和发展规划对上述拟投资项目用自筹资金进行先期投入，待募集资金到位后将以募集资金置换上述自筹资金。本次发行股票后，若本次发行实际募集资金量小于上述投资项目的资金需求，公司将按照项目的轻重缓急等情况，调整并最终决定募集资金投入的优先顺序及各项目的具体投资金额等使用安排，募集资金不足部分由公司自筹解决。</w:t>
      </w:r>
    </w:p>
    <w:p w:rsidR="004C5A2C" w:rsidRDefault="0044144A">
      <w:pPr>
        <w:pStyle w:val="2"/>
        <w:spacing w:before="120" w:after="120" w:line="360" w:lineRule="auto"/>
        <w:rPr>
          <w:rFonts w:ascii="Times New Roman" w:eastAsia="黑体" w:hAnsi="Times New Roman" w:cs="Times New Roman"/>
          <w:sz w:val="28"/>
        </w:rPr>
      </w:pPr>
      <w:bookmarkStart w:id="2" w:name="bookmark16"/>
      <w:bookmarkStart w:id="3" w:name="bookmark17"/>
      <w:bookmarkStart w:id="4" w:name="_Toc146198218"/>
      <w:bookmarkEnd w:id="2"/>
      <w:bookmarkEnd w:id="3"/>
      <w:r>
        <w:rPr>
          <w:rFonts w:ascii="Times New Roman" w:eastAsia="黑体" w:hAnsi="Times New Roman" w:cs="Times New Roman"/>
          <w:sz w:val="28"/>
        </w:rPr>
        <w:t>二、本次募集资金使用投资项目的具体情况</w:t>
      </w:r>
      <w:bookmarkEnd w:id="4"/>
    </w:p>
    <w:p w:rsidR="004C5A2C" w:rsidRDefault="0044144A">
      <w:pPr>
        <w:pStyle w:val="3"/>
        <w:spacing w:before="120" w:after="120" w:line="360" w:lineRule="auto"/>
        <w:ind w:firstLineChars="200" w:firstLine="482"/>
        <w:rPr>
          <w:rFonts w:cs="Times New Roman"/>
          <w:sz w:val="24"/>
        </w:rPr>
      </w:pPr>
      <w:r>
        <w:rPr>
          <w:rFonts w:cs="Times New Roman"/>
          <w:sz w:val="24"/>
        </w:rPr>
        <w:t>（一）宝坻新城第二水厂工程（一期）项目</w:t>
      </w:r>
    </w:p>
    <w:p w:rsidR="004C5A2C" w:rsidRDefault="0044144A">
      <w:pPr>
        <w:spacing w:beforeLines="50" w:before="156" w:afterLines="50" w:after="156" w:line="360" w:lineRule="auto"/>
        <w:ind w:firstLineChars="200" w:firstLine="482"/>
        <w:rPr>
          <w:rFonts w:cs="Times New Roman"/>
          <w:b/>
        </w:rPr>
      </w:pPr>
      <w:r>
        <w:rPr>
          <w:rFonts w:cs="Times New Roman"/>
          <w:b/>
        </w:rPr>
        <w:t>1</w:t>
      </w:r>
      <w:r>
        <w:rPr>
          <w:rFonts w:cs="Times New Roman"/>
          <w:b/>
        </w:rPr>
        <w:t>、项目基本情况</w:t>
      </w:r>
    </w:p>
    <w:p w:rsidR="004C5A2C" w:rsidRDefault="0044144A">
      <w:pPr>
        <w:spacing w:beforeLines="50" w:before="156" w:afterLines="50" w:after="156" w:line="360" w:lineRule="auto"/>
        <w:ind w:firstLineChars="200" w:firstLine="480"/>
        <w:rPr>
          <w:rFonts w:cs="Times New Roman"/>
        </w:rPr>
      </w:pPr>
      <w:r>
        <w:rPr>
          <w:rFonts w:cs="Times New Roman"/>
        </w:rPr>
        <w:t>项目名称：宝坻新城第二水厂工程（一期）项目</w:t>
      </w:r>
    </w:p>
    <w:p w:rsidR="004C5A2C" w:rsidRDefault="0044144A">
      <w:pPr>
        <w:spacing w:beforeLines="50" w:before="156" w:afterLines="50" w:after="156" w:line="360" w:lineRule="auto"/>
        <w:ind w:firstLineChars="200" w:firstLine="480"/>
        <w:rPr>
          <w:rFonts w:cs="Times New Roman"/>
        </w:rPr>
      </w:pPr>
      <w:r>
        <w:rPr>
          <w:rFonts w:cs="Times New Roman"/>
        </w:rPr>
        <w:t>项目地点：天津市宝坻区，潮白河以南、津蓟铁路以东、引滦干渠以西</w:t>
      </w:r>
    </w:p>
    <w:p w:rsidR="004C5A2C" w:rsidRDefault="0044144A">
      <w:pPr>
        <w:spacing w:beforeLines="50" w:before="156" w:afterLines="50" w:after="156" w:line="360" w:lineRule="auto"/>
        <w:ind w:firstLineChars="200" w:firstLine="480"/>
        <w:rPr>
          <w:rFonts w:cs="Times New Roman"/>
        </w:rPr>
      </w:pPr>
      <w:r>
        <w:rPr>
          <w:rFonts w:cs="Times New Roman"/>
        </w:rPr>
        <w:t>投资规模：</w:t>
      </w:r>
      <w:r>
        <w:rPr>
          <w:rFonts w:cs="Times New Roman"/>
        </w:rPr>
        <w:t>37,839.85</w:t>
      </w:r>
      <w:r>
        <w:rPr>
          <w:rFonts w:cs="Times New Roman"/>
        </w:rPr>
        <w:t>万元</w:t>
      </w:r>
    </w:p>
    <w:p w:rsidR="004C5A2C" w:rsidRDefault="0044144A">
      <w:pPr>
        <w:spacing w:beforeLines="50" w:before="156" w:afterLines="50" w:after="156" w:line="360" w:lineRule="auto"/>
        <w:ind w:firstLineChars="200" w:firstLine="480"/>
        <w:rPr>
          <w:rFonts w:cs="Times New Roman"/>
        </w:rPr>
      </w:pPr>
      <w:r>
        <w:rPr>
          <w:rFonts w:cs="Times New Roman"/>
        </w:rPr>
        <w:t>项目建设内容：新建水厂一期规模为</w:t>
      </w:r>
      <w:r>
        <w:rPr>
          <w:rFonts w:cs="Times New Roman"/>
        </w:rPr>
        <w:t>10</w:t>
      </w:r>
      <w:r>
        <w:rPr>
          <w:rFonts w:cs="Times New Roman"/>
        </w:rPr>
        <w:t>万立方米</w:t>
      </w:r>
      <w:r>
        <w:rPr>
          <w:rFonts w:cs="Times New Roman"/>
        </w:rPr>
        <w:t>/</w:t>
      </w:r>
      <w:r>
        <w:rPr>
          <w:rFonts w:cs="Times New Roman"/>
        </w:rPr>
        <w:t>日。主要包括原水调蓄池，取水前池，格栅，泵房及前臭氧接触池，净水间，清水池，送水泵房及变配电间，加氯加药间，臭氧发生间及液氧罐，高密度池，污泥处理间，机修间及仓库，车</w:t>
      </w:r>
      <w:r>
        <w:rPr>
          <w:rFonts w:cs="Times New Roman"/>
        </w:rPr>
        <w:lastRenderedPageBreak/>
        <w:t>库，综合楼等。</w:t>
      </w:r>
    </w:p>
    <w:p w:rsidR="004C5A2C" w:rsidRDefault="0044144A">
      <w:pPr>
        <w:spacing w:beforeLines="50" w:before="156" w:afterLines="50" w:after="156" w:line="360" w:lineRule="auto"/>
        <w:ind w:firstLineChars="200" w:firstLine="482"/>
        <w:rPr>
          <w:rFonts w:cs="Times New Roman"/>
          <w:b/>
        </w:rPr>
      </w:pPr>
      <w:r>
        <w:rPr>
          <w:rFonts w:cs="Times New Roman"/>
          <w:b/>
        </w:rPr>
        <w:t>2</w:t>
      </w:r>
      <w:r>
        <w:rPr>
          <w:rFonts w:cs="Times New Roman"/>
          <w:b/>
        </w:rPr>
        <w:t>、项目实施的必要性分析</w:t>
      </w:r>
    </w:p>
    <w:p w:rsidR="004C5A2C" w:rsidRDefault="0044144A">
      <w:pPr>
        <w:spacing w:beforeLines="50" w:before="156" w:afterLines="50" w:after="156" w:line="360" w:lineRule="auto"/>
        <w:ind w:firstLineChars="200" w:firstLine="480"/>
        <w:rPr>
          <w:rFonts w:cs="Times New Roman"/>
          <w:color w:val="000000" w:themeColor="text1"/>
          <w:szCs w:val="24"/>
        </w:rPr>
      </w:pPr>
      <w:r>
        <w:rPr>
          <w:rFonts w:cs="Times New Roman"/>
          <w:color w:val="000000" w:themeColor="text1"/>
          <w:szCs w:val="24"/>
        </w:rPr>
        <w:t>（</w:t>
      </w:r>
      <w:r>
        <w:rPr>
          <w:rFonts w:cs="Times New Roman"/>
          <w:color w:val="000000" w:themeColor="text1"/>
          <w:szCs w:val="24"/>
        </w:rPr>
        <w:t>1</w:t>
      </w:r>
      <w:r>
        <w:rPr>
          <w:rFonts w:cs="Times New Roman"/>
          <w:color w:val="000000" w:themeColor="text1"/>
          <w:szCs w:val="24"/>
        </w:rPr>
        <w:t>）《天津市水安全保障</w:t>
      </w:r>
      <w:r>
        <w:rPr>
          <w:rFonts w:cs="Times New Roman" w:hint="eastAsia"/>
          <w:color w:val="000000" w:themeColor="text1"/>
          <w:szCs w:val="24"/>
        </w:rPr>
        <w:t>“</w:t>
      </w:r>
      <w:r>
        <w:rPr>
          <w:rFonts w:cs="Times New Roman"/>
          <w:color w:val="000000" w:themeColor="text1"/>
          <w:szCs w:val="24"/>
        </w:rPr>
        <w:t>十四五</w:t>
      </w:r>
      <w:r>
        <w:rPr>
          <w:rFonts w:cs="Times New Roman" w:hint="eastAsia"/>
          <w:color w:val="000000" w:themeColor="text1"/>
          <w:szCs w:val="24"/>
        </w:rPr>
        <w:t>”</w:t>
      </w:r>
      <w:r>
        <w:rPr>
          <w:rFonts w:cs="Times New Roman"/>
          <w:color w:val="000000" w:themeColor="text1"/>
          <w:szCs w:val="24"/>
        </w:rPr>
        <w:t>规划》规划建设项目</w:t>
      </w:r>
    </w:p>
    <w:p w:rsidR="004C5A2C" w:rsidRDefault="0044144A">
      <w:pPr>
        <w:spacing w:line="360" w:lineRule="auto"/>
        <w:ind w:firstLineChars="200" w:firstLine="480"/>
        <w:rPr>
          <w:rFonts w:cs="Times New Roman"/>
          <w:color w:val="000000" w:themeColor="text1"/>
          <w:szCs w:val="24"/>
        </w:rPr>
      </w:pPr>
      <w:r>
        <w:rPr>
          <w:rFonts w:cs="Times New Roman"/>
          <w:color w:val="000000" w:themeColor="text1"/>
          <w:szCs w:val="24"/>
        </w:rPr>
        <w:t>2021</w:t>
      </w:r>
      <w:r>
        <w:rPr>
          <w:rFonts w:cs="Times New Roman"/>
          <w:color w:val="000000" w:themeColor="text1"/>
          <w:szCs w:val="24"/>
        </w:rPr>
        <w:t>年</w:t>
      </w:r>
      <w:r>
        <w:rPr>
          <w:rFonts w:cs="Times New Roman"/>
          <w:color w:val="000000" w:themeColor="text1"/>
          <w:szCs w:val="24"/>
        </w:rPr>
        <w:t>6</w:t>
      </w:r>
      <w:r>
        <w:rPr>
          <w:rFonts w:cs="Times New Roman"/>
          <w:color w:val="000000" w:themeColor="text1"/>
          <w:szCs w:val="24"/>
        </w:rPr>
        <w:t>月，天津市政府颁布《天津市水安全保障</w:t>
      </w:r>
      <w:r>
        <w:rPr>
          <w:rFonts w:cs="Times New Roman" w:hint="eastAsia"/>
          <w:color w:val="000000" w:themeColor="text1"/>
          <w:szCs w:val="24"/>
        </w:rPr>
        <w:t>“</w:t>
      </w:r>
      <w:r>
        <w:rPr>
          <w:rFonts w:cs="Times New Roman"/>
          <w:color w:val="000000" w:themeColor="text1"/>
          <w:szCs w:val="24"/>
        </w:rPr>
        <w:t>十四五</w:t>
      </w:r>
      <w:r>
        <w:rPr>
          <w:rFonts w:cs="Times New Roman" w:hint="eastAsia"/>
          <w:color w:val="000000" w:themeColor="text1"/>
          <w:szCs w:val="24"/>
        </w:rPr>
        <w:t>”</w:t>
      </w:r>
      <w:r>
        <w:rPr>
          <w:rFonts w:cs="Times New Roman"/>
          <w:color w:val="000000" w:themeColor="text1"/>
          <w:szCs w:val="24"/>
        </w:rPr>
        <w:t>规划》，提出</w:t>
      </w:r>
      <w:r>
        <w:rPr>
          <w:rFonts w:cs="Times New Roman" w:hint="eastAsia"/>
          <w:color w:val="000000" w:themeColor="text1"/>
          <w:szCs w:val="24"/>
        </w:rPr>
        <w:t>“</w:t>
      </w:r>
      <w:r>
        <w:rPr>
          <w:rFonts w:cs="Times New Roman"/>
          <w:color w:val="000000" w:themeColor="text1"/>
          <w:szCs w:val="24"/>
        </w:rPr>
        <w:t>十四五</w:t>
      </w:r>
      <w:r>
        <w:rPr>
          <w:rFonts w:cs="Times New Roman" w:hint="eastAsia"/>
          <w:color w:val="000000" w:themeColor="text1"/>
          <w:szCs w:val="24"/>
        </w:rPr>
        <w:t>”</w:t>
      </w:r>
      <w:r>
        <w:rPr>
          <w:rFonts w:cs="Times New Roman"/>
          <w:color w:val="000000" w:themeColor="text1"/>
          <w:szCs w:val="24"/>
        </w:rPr>
        <w:t>时期，天津市要立足人民群众对水安全保障的新需求，妥善处理水资源供需矛盾，着力防范化解水灾害风险，需加快水安全基础设施建设、强化涉水事务监管、提升水治理效能。本次募投项目作为《天津市水安全保障</w:t>
      </w:r>
      <w:r>
        <w:rPr>
          <w:rFonts w:cs="Times New Roman" w:hint="eastAsia"/>
          <w:color w:val="000000" w:themeColor="text1"/>
          <w:szCs w:val="24"/>
        </w:rPr>
        <w:t>“</w:t>
      </w:r>
      <w:r>
        <w:rPr>
          <w:rFonts w:cs="Times New Roman"/>
          <w:color w:val="000000" w:themeColor="text1"/>
          <w:szCs w:val="24"/>
        </w:rPr>
        <w:t>十四五</w:t>
      </w:r>
      <w:r>
        <w:rPr>
          <w:rFonts w:cs="Times New Roman" w:hint="eastAsia"/>
          <w:color w:val="000000" w:themeColor="text1"/>
          <w:szCs w:val="24"/>
        </w:rPr>
        <w:t>”</w:t>
      </w:r>
      <w:r>
        <w:rPr>
          <w:rFonts w:cs="Times New Roman"/>
          <w:color w:val="000000" w:themeColor="text1"/>
          <w:szCs w:val="24"/>
        </w:rPr>
        <w:t>规划》规划建设项目，对满足天津市供水保障具有重要意义。</w:t>
      </w:r>
    </w:p>
    <w:p w:rsidR="004C5A2C" w:rsidRDefault="0044144A">
      <w:pPr>
        <w:spacing w:beforeLines="50" w:before="156" w:afterLines="50" w:after="156" w:line="360" w:lineRule="auto"/>
        <w:ind w:firstLineChars="200" w:firstLine="480"/>
        <w:rPr>
          <w:rFonts w:cs="Times New Roman"/>
          <w:color w:val="000000" w:themeColor="text1"/>
          <w:szCs w:val="24"/>
        </w:rPr>
      </w:pPr>
      <w:r>
        <w:rPr>
          <w:rFonts w:cs="Times New Roman"/>
          <w:color w:val="000000" w:themeColor="text1"/>
          <w:szCs w:val="24"/>
        </w:rPr>
        <w:t>（</w:t>
      </w:r>
      <w:r>
        <w:rPr>
          <w:rFonts w:cs="Times New Roman"/>
          <w:color w:val="000000" w:themeColor="text1"/>
          <w:szCs w:val="24"/>
        </w:rPr>
        <w:t>2</w:t>
      </w:r>
      <w:r>
        <w:rPr>
          <w:rFonts w:cs="Times New Roman"/>
          <w:color w:val="000000" w:themeColor="text1"/>
          <w:szCs w:val="24"/>
        </w:rPr>
        <w:t>）满足城市供水需求，促进地区经济发展</w:t>
      </w:r>
    </w:p>
    <w:p w:rsidR="004C5A2C" w:rsidRDefault="0044144A">
      <w:pPr>
        <w:spacing w:beforeLines="50" w:before="156" w:afterLines="50" w:after="156" w:line="360" w:lineRule="auto"/>
        <w:ind w:firstLineChars="200" w:firstLine="480"/>
        <w:rPr>
          <w:rFonts w:cs="Times New Roman"/>
          <w:color w:val="000000" w:themeColor="text1"/>
          <w:szCs w:val="24"/>
        </w:rPr>
      </w:pPr>
      <w:r>
        <w:rPr>
          <w:rFonts w:cs="Times New Roman"/>
          <w:color w:val="000000" w:themeColor="text1"/>
          <w:szCs w:val="24"/>
        </w:rPr>
        <w:t>随着城市化进程不断加快，人民生活和工业用水量日益增加，对水质要求也逐步提升。修建供水工程，对于满足日益提高的供水水质水量需</w:t>
      </w:r>
      <w:r>
        <w:rPr>
          <w:rFonts w:cs="Times New Roman"/>
          <w:color w:val="000000" w:themeColor="text1"/>
          <w:szCs w:val="24"/>
        </w:rPr>
        <w:t>求、保障人民身体健康、促进经济发展具有重大意义。</w:t>
      </w:r>
    </w:p>
    <w:p w:rsidR="004C5A2C" w:rsidRDefault="0044144A">
      <w:pPr>
        <w:spacing w:line="360" w:lineRule="auto"/>
        <w:ind w:firstLineChars="200" w:firstLine="480"/>
        <w:rPr>
          <w:rFonts w:cs="Times New Roman"/>
          <w:snapToGrid w:val="0"/>
          <w:color w:val="000000" w:themeColor="text1"/>
          <w:kern w:val="0"/>
          <w:position w:val="17"/>
          <w:szCs w:val="24"/>
        </w:rPr>
      </w:pPr>
      <w:r>
        <w:rPr>
          <w:rFonts w:cs="Times New Roman"/>
          <w:color w:val="000000" w:themeColor="text1"/>
          <w:szCs w:val="24"/>
        </w:rPr>
        <w:t>随着国家</w:t>
      </w:r>
      <w:r>
        <w:rPr>
          <w:rFonts w:cs="Times New Roman" w:hint="eastAsia"/>
          <w:color w:val="000000" w:themeColor="text1"/>
          <w:szCs w:val="24"/>
        </w:rPr>
        <w:t>“</w:t>
      </w:r>
      <w:r>
        <w:rPr>
          <w:rFonts w:cs="Times New Roman"/>
          <w:color w:val="000000" w:themeColor="text1"/>
          <w:szCs w:val="24"/>
        </w:rPr>
        <w:t>十三五</w:t>
      </w:r>
      <w:r>
        <w:rPr>
          <w:rFonts w:cs="Times New Roman" w:hint="eastAsia"/>
          <w:color w:val="000000" w:themeColor="text1"/>
          <w:szCs w:val="24"/>
        </w:rPr>
        <w:t>”</w:t>
      </w:r>
      <w:r>
        <w:rPr>
          <w:rFonts w:cs="Times New Roman"/>
          <w:color w:val="000000" w:themeColor="text1"/>
          <w:szCs w:val="24"/>
        </w:rPr>
        <w:t>规划的实施，天津市宝坻区宝坻新城得到了快速发展的机会。区域内引进和规划了包括中关村科技城、环保工业园、物流产业园以及配合高铁建设的新区等重大项目，区域的用水量扩大，宝坻的现状供水不足以支持如此大规模的开发建设。本次募投项目的建设将进一步完善宝坻区供水管网系统，扩大供水范围，满足居民生活、工业生产和市政建设等各项用水需求，促进区域的经济发展。</w:t>
      </w:r>
    </w:p>
    <w:p w:rsidR="004C5A2C" w:rsidRDefault="0044144A">
      <w:pPr>
        <w:spacing w:line="360" w:lineRule="auto"/>
        <w:ind w:firstLineChars="200" w:firstLine="480"/>
        <w:rPr>
          <w:rFonts w:cs="Times New Roman"/>
          <w:color w:val="000000" w:themeColor="text1"/>
          <w:szCs w:val="24"/>
        </w:rPr>
      </w:pPr>
      <w:r>
        <w:rPr>
          <w:rFonts w:cs="Times New Roman"/>
          <w:color w:val="000000" w:themeColor="text1"/>
          <w:szCs w:val="24"/>
        </w:rPr>
        <w:t>（</w:t>
      </w:r>
      <w:r>
        <w:rPr>
          <w:rFonts w:cs="Times New Roman"/>
          <w:color w:val="000000" w:themeColor="text1"/>
          <w:szCs w:val="24"/>
        </w:rPr>
        <w:t>3</w:t>
      </w:r>
      <w:r>
        <w:rPr>
          <w:rFonts w:cs="Times New Roman"/>
          <w:color w:val="000000" w:themeColor="text1"/>
          <w:szCs w:val="24"/>
        </w:rPr>
        <w:t>）巩固发展供水业务，拓宽业绩增长点</w:t>
      </w:r>
    </w:p>
    <w:p w:rsidR="004C5A2C" w:rsidRDefault="0044144A">
      <w:pPr>
        <w:spacing w:beforeLines="50" w:before="156" w:afterLines="50" w:after="156" w:line="360" w:lineRule="auto"/>
        <w:ind w:firstLineChars="200" w:firstLine="480"/>
        <w:rPr>
          <w:rFonts w:cs="Times New Roman"/>
          <w:color w:val="000000" w:themeColor="text1"/>
          <w:szCs w:val="24"/>
        </w:rPr>
      </w:pPr>
      <w:r>
        <w:rPr>
          <w:rFonts w:cs="Times New Roman"/>
          <w:color w:val="000000" w:themeColor="text1"/>
          <w:szCs w:val="24"/>
        </w:rPr>
        <w:t>本次募投项目是公司在供水业务领域获得的特许经营项目，有助于公司供水业务扩大市场占有率，增加公司收入和盈利。项目将对公司增加影响力以及提升整体规模有着重要的意义，符合公司的发展战略。项目的顺利运营，将使公司能够充分发挥自身的管理及技术人员资源优势，为公司进一步开拓项目创造便利条件。</w:t>
      </w:r>
    </w:p>
    <w:p w:rsidR="004C5A2C" w:rsidRDefault="0044144A">
      <w:pPr>
        <w:spacing w:beforeLines="50" w:before="156" w:afterLines="50" w:after="156" w:line="360" w:lineRule="auto"/>
        <w:ind w:firstLineChars="200" w:firstLine="482"/>
        <w:rPr>
          <w:rFonts w:cs="Times New Roman"/>
          <w:b/>
          <w:color w:val="000000" w:themeColor="text1"/>
        </w:rPr>
      </w:pPr>
      <w:r>
        <w:rPr>
          <w:rFonts w:cs="Times New Roman"/>
          <w:b/>
          <w:color w:val="000000" w:themeColor="text1"/>
        </w:rPr>
        <w:t>3</w:t>
      </w:r>
      <w:r>
        <w:rPr>
          <w:rFonts w:cs="Times New Roman"/>
          <w:b/>
          <w:color w:val="000000" w:themeColor="text1"/>
        </w:rPr>
        <w:t>、项目实施的可行性分析</w:t>
      </w:r>
    </w:p>
    <w:p w:rsidR="004C5A2C" w:rsidRDefault="0044144A">
      <w:pPr>
        <w:spacing w:beforeLines="50" w:before="156" w:afterLines="50" w:after="156" w:line="360" w:lineRule="auto"/>
        <w:ind w:firstLineChars="200" w:firstLine="480"/>
        <w:rPr>
          <w:rFonts w:cs="Times New Roman"/>
          <w:color w:val="000000" w:themeColor="text1"/>
        </w:rPr>
      </w:pPr>
      <w:r>
        <w:rPr>
          <w:rFonts w:cs="Times New Roman"/>
          <w:color w:val="000000" w:themeColor="text1"/>
        </w:rPr>
        <w:t>（</w:t>
      </w:r>
      <w:r>
        <w:rPr>
          <w:rFonts w:cs="Times New Roman"/>
          <w:color w:val="000000" w:themeColor="text1"/>
        </w:rPr>
        <w:t>1</w:t>
      </w:r>
      <w:r>
        <w:rPr>
          <w:rFonts w:cs="Times New Roman"/>
          <w:color w:val="000000" w:themeColor="text1"/>
        </w:rPr>
        <w:t>）符合国家产业政策引导</w:t>
      </w:r>
    </w:p>
    <w:p w:rsidR="004C5A2C" w:rsidRDefault="0044144A">
      <w:pPr>
        <w:spacing w:beforeLines="50" w:before="156" w:afterLines="50" w:after="156" w:line="360" w:lineRule="auto"/>
        <w:ind w:firstLineChars="200" w:firstLine="480"/>
        <w:rPr>
          <w:rFonts w:cs="Times New Roman"/>
          <w:color w:val="000000" w:themeColor="text1"/>
          <w:szCs w:val="24"/>
        </w:rPr>
      </w:pPr>
      <w:r>
        <w:rPr>
          <w:rFonts w:cs="Times New Roman"/>
          <w:color w:val="000000" w:themeColor="text1"/>
          <w:szCs w:val="24"/>
        </w:rPr>
        <w:lastRenderedPageBreak/>
        <w:t>近年来随着中国经济社会的快速发展，供水的需求在未来一段时间仍不断加大，为确保行业可持续发展，国家及地方政府围绕行业发展目标、行业监管、融资方式、税收优惠和技术革新等方面陆续出台</w:t>
      </w:r>
      <w:r>
        <w:rPr>
          <w:rFonts w:cs="Times New Roman"/>
          <w:color w:val="000000" w:themeColor="text1"/>
          <w:szCs w:val="24"/>
        </w:rPr>
        <w:t>相关政策。其中，《中华人民共和国国民经济和社会发展第十四个五年规划和</w:t>
      </w:r>
      <w:r>
        <w:rPr>
          <w:rFonts w:cs="Times New Roman"/>
          <w:color w:val="000000" w:themeColor="text1"/>
          <w:szCs w:val="24"/>
        </w:rPr>
        <w:t>2035</w:t>
      </w:r>
      <w:r>
        <w:rPr>
          <w:rFonts w:cs="Times New Roman"/>
          <w:color w:val="000000" w:themeColor="text1"/>
          <w:szCs w:val="24"/>
        </w:rPr>
        <w:t>年远景目标纲要》提出</w:t>
      </w:r>
      <w:r>
        <w:rPr>
          <w:rFonts w:cs="Times New Roman" w:hint="eastAsia"/>
          <w:color w:val="000000" w:themeColor="text1"/>
          <w:szCs w:val="24"/>
        </w:rPr>
        <w:t>“</w:t>
      </w:r>
      <w:r>
        <w:rPr>
          <w:rFonts w:cs="Times New Roman"/>
          <w:color w:val="000000" w:themeColor="text1"/>
          <w:szCs w:val="24"/>
        </w:rPr>
        <w:t>持续改善环境质量</w:t>
      </w:r>
      <w:r>
        <w:rPr>
          <w:rFonts w:cs="Times New Roman" w:hint="eastAsia"/>
          <w:color w:val="000000" w:themeColor="text1"/>
          <w:szCs w:val="24"/>
        </w:rPr>
        <w:t>”</w:t>
      </w:r>
      <w:r>
        <w:rPr>
          <w:rFonts w:cs="Times New Roman" w:hint="eastAsia"/>
          <w:color w:val="000000" w:themeColor="text1"/>
          <w:szCs w:val="24"/>
        </w:rPr>
        <w:t>“</w:t>
      </w:r>
      <w:r>
        <w:rPr>
          <w:rFonts w:cs="Times New Roman"/>
          <w:color w:val="000000" w:themeColor="text1"/>
          <w:szCs w:val="24"/>
        </w:rPr>
        <w:t>加强水利基础设施建设</w:t>
      </w:r>
      <w:r>
        <w:rPr>
          <w:rFonts w:cs="Times New Roman" w:hint="eastAsia"/>
          <w:color w:val="000000" w:themeColor="text1"/>
          <w:szCs w:val="24"/>
        </w:rPr>
        <w:t>”</w:t>
      </w:r>
      <w:r>
        <w:rPr>
          <w:rFonts w:cs="Times New Roman"/>
          <w:color w:val="000000" w:themeColor="text1"/>
          <w:szCs w:val="24"/>
        </w:rPr>
        <w:t>等，对水务行业的发展方向进行了明确要求和规定。</w:t>
      </w:r>
    </w:p>
    <w:p w:rsidR="004C5A2C" w:rsidRDefault="0044144A">
      <w:pPr>
        <w:spacing w:beforeLines="50" w:before="156" w:afterLines="50" w:after="156" w:line="360" w:lineRule="auto"/>
        <w:ind w:firstLineChars="200" w:firstLine="480"/>
        <w:rPr>
          <w:rFonts w:cs="Times New Roman"/>
          <w:color w:val="000000" w:themeColor="text1"/>
          <w:szCs w:val="24"/>
        </w:rPr>
      </w:pPr>
      <w:r>
        <w:rPr>
          <w:rFonts w:cs="Times New Roman"/>
          <w:color w:val="000000" w:themeColor="text1"/>
          <w:szCs w:val="24"/>
        </w:rPr>
        <w:t>天津市人民政府批复了《天津市供水规划</w:t>
      </w:r>
      <w:r>
        <w:rPr>
          <w:rFonts w:cs="Times New Roman" w:hint="eastAsia"/>
          <w:color w:val="000000" w:themeColor="text1"/>
          <w:szCs w:val="24"/>
        </w:rPr>
        <w:t>（</w:t>
      </w:r>
      <w:r>
        <w:rPr>
          <w:rFonts w:cs="Times New Roman"/>
          <w:color w:val="000000" w:themeColor="text1"/>
          <w:szCs w:val="24"/>
        </w:rPr>
        <w:t>2020-2035</w:t>
      </w:r>
      <w:r>
        <w:rPr>
          <w:rFonts w:cs="Times New Roman"/>
          <w:color w:val="000000" w:themeColor="text1"/>
          <w:szCs w:val="24"/>
        </w:rPr>
        <w:t>年</w:t>
      </w:r>
      <w:r>
        <w:rPr>
          <w:rFonts w:cs="Times New Roman" w:hint="eastAsia"/>
          <w:color w:val="000000" w:themeColor="text1"/>
          <w:szCs w:val="24"/>
        </w:rPr>
        <w:t>）</w:t>
      </w:r>
      <w:r>
        <w:rPr>
          <w:rFonts w:cs="Times New Roman"/>
          <w:color w:val="000000" w:themeColor="text1"/>
          <w:szCs w:val="24"/>
        </w:rPr>
        <w:t>》，旨在有效解决天津市供水新老问题，加快构建天津市供水安全保障体系，全面统筹城乡供水，不断满足广大人民群众对高品质生活饮用水的需求，保障城镇高质量发展的生产用水需求，本次募投项目被列入</w:t>
      </w:r>
      <w:r>
        <w:rPr>
          <w:rFonts w:cs="Times New Roman" w:hint="eastAsia"/>
          <w:color w:val="000000" w:themeColor="text1"/>
          <w:szCs w:val="24"/>
        </w:rPr>
        <w:t>《</w:t>
      </w:r>
      <w:r>
        <w:rPr>
          <w:rFonts w:cs="Times New Roman"/>
          <w:color w:val="000000" w:themeColor="text1"/>
          <w:szCs w:val="24"/>
        </w:rPr>
        <w:t>天津市供水规划</w:t>
      </w:r>
      <w:r>
        <w:rPr>
          <w:rFonts w:cs="Times New Roman" w:hint="eastAsia"/>
          <w:color w:val="000000" w:themeColor="text1"/>
          <w:szCs w:val="24"/>
        </w:rPr>
        <w:t>（</w:t>
      </w:r>
      <w:r>
        <w:rPr>
          <w:rFonts w:cs="Times New Roman"/>
          <w:color w:val="000000" w:themeColor="text1"/>
          <w:szCs w:val="24"/>
        </w:rPr>
        <w:t>2020-2035</w:t>
      </w:r>
      <w:r>
        <w:rPr>
          <w:rFonts w:cs="Times New Roman"/>
          <w:color w:val="000000" w:themeColor="text1"/>
          <w:szCs w:val="24"/>
        </w:rPr>
        <w:t>年</w:t>
      </w:r>
      <w:r>
        <w:rPr>
          <w:rFonts w:cs="Times New Roman" w:hint="eastAsia"/>
          <w:color w:val="000000" w:themeColor="text1"/>
          <w:szCs w:val="24"/>
        </w:rPr>
        <w:t>）》</w:t>
      </w:r>
      <w:r>
        <w:rPr>
          <w:rFonts w:cs="Times New Roman"/>
          <w:color w:val="000000" w:themeColor="text1"/>
          <w:szCs w:val="24"/>
        </w:rPr>
        <w:t>。各项政策出台为城镇供水行业带来了新的发展机遇，为本次募投项目的实施提供了政策支持。</w:t>
      </w:r>
    </w:p>
    <w:p w:rsidR="004C5A2C" w:rsidRDefault="0044144A">
      <w:pPr>
        <w:spacing w:line="360" w:lineRule="auto"/>
        <w:ind w:firstLineChars="200" w:firstLine="480"/>
        <w:rPr>
          <w:rFonts w:cs="Times New Roman"/>
        </w:rPr>
      </w:pPr>
      <w:r>
        <w:rPr>
          <w:rFonts w:cs="Times New Roman"/>
          <w:color w:val="000000" w:themeColor="text1"/>
          <w:szCs w:val="24"/>
        </w:rPr>
        <w:t>（</w:t>
      </w:r>
      <w:r>
        <w:rPr>
          <w:rFonts w:cs="Times New Roman"/>
          <w:color w:val="000000" w:themeColor="text1"/>
          <w:szCs w:val="24"/>
        </w:rPr>
        <w:t>2</w:t>
      </w:r>
      <w:r>
        <w:rPr>
          <w:rFonts w:cs="Times New Roman"/>
          <w:color w:val="000000" w:themeColor="text1"/>
          <w:szCs w:val="24"/>
        </w:rPr>
        <w:t>）公司具备</w:t>
      </w:r>
      <w:r>
        <w:rPr>
          <w:rFonts w:cs="Times New Roman"/>
        </w:rPr>
        <w:t>人员和技术储备</w:t>
      </w:r>
    </w:p>
    <w:p w:rsidR="004C5A2C" w:rsidRDefault="0044144A">
      <w:pPr>
        <w:spacing w:line="360" w:lineRule="auto"/>
        <w:ind w:firstLineChars="200" w:firstLine="480"/>
        <w:rPr>
          <w:rFonts w:cs="Times New Roman"/>
        </w:rPr>
      </w:pPr>
      <w:r>
        <w:rPr>
          <w:rFonts w:cs="Times New Roman"/>
        </w:rPr>
        <w:t>近年来，公司始终注重人才队伍的培养，拥有一支稳定专业的管理和研发团队，多年来与公司共同成长，积累了大量的实践经验与管理、研发能力。高素质的人才队伍为公司的发展提供了有力保障。公司深耕所处行业，以科技为引领，将科技优势转化为发展优势，提升公司的核心竞争力、增强核心功能。公司建有国家级院士专家工作站、全流程自动控制系统及独立知识产权的</w:t>
      </w:r>
      <w:r>
        <w:rPr>
          <w:rFonts w:cs="Times New Roman" w:hint="eastAsia"/>
        </w:rPr>
        <w:t>“</w:t>
      </w:r>
      <w:r>
        <w:rPr>
          <w:rFonts w:cs="Times New Roman"/>
        </w:rPr>
        <w:t>大数据控制中心</w:t>
      </w:r>
      <w:r>
        <w:rPr>
          <w:rFonts w:cs="Times New Roman" w:hint="eastAsia"/>
        </w:rPr>
        <w:t>”</w:t>
      </w:r>
      <w:r>
        <w:rPr>
          <w:rFonts w:cs="Times New Roman"/>
        </w:rPr>
        <w:t>。</w:t>
      </w:r>
      <w:r>
        <w:rPr>
          <w:rFonts w:cs="Times New Roman" w:hint="eastAsia"/>
        </w:rPr>
        <w:t>同时，公司重视技术的研发和储备，</w:t>
      </w:r>
      <w:r>
        <w:rPr>
          <w:rFonts w:cs="Times New Roman"/>
        </w:rPr>
        <w:t>截至</w:t>
      </w:r>
      <w:r>
        <w:rPr>
          <w:rFonts w:cs="Times New Roman"/>
        </w:rPr>
        <w:t>2023</w:t>
      </w:r>
      <w:r>
        <w:rPr>
          <w:rFonts w:cs="Times New Roman"/>
        </w:rPr>
        <w:t>年</w:t>
      </w:r>
      <w:r>
        <w:rPr>
          <w:rFonts w:cs="Times New Roman"/>
        </w:rPr>
        <w:t>9</w:t>
      </w:r>
      <w:r>
        <w:rPr>
          <w:rFonts w:cs="Times New Roman"/>
        </w:rPr>
        <w:t>月</w:t>
      </w:r>
      <w:r>
        <w:rPr>
          <w:rFonts w:cs="Times New Roman"/>
        </w:rPr>
        <w:t>30</w:t>
      </w:r>
      <w:r>
        <w:rPr>
          <w:rFonts w:cs="Times New Roman"/>
        </w:rPr>
        <w:t>日，公司已取得授权专利</w:t>
      </w:r>
      <w:r>
        <w:rPr>
          <w:rFonts w:cs="Times New Roman"/>
        </w:rPr>
        <w:t>97</w:t>
      </w:r>
      <w:r>
        <w:rPr>
          <w:rFonts w:cs="Times New Roman"/>
        </w:rPr>
        <w:t>项</w:t>
      </w:r>
      <w:r>
        <w:rPr>
          <w:rFonts w:cs="Times New Roman" w:hint="eastAsia"/>
        </w:rPr>
        <w:t>。</w:t>
      </w:r>
      <w:r>
        <w:rPr>
          <w:rFonts w:cs="Times New Roman"/>
        </w:rPr>
        <w:t>研发实力和技术储备为项目开展提供了技术支持。</w:t>
      </w:r>
    </w:p>
    <w:p w:rsidR="004C5A2C" w:rsidRDefault="0044144A">
      <w:pPr>
        <w:spacing w:beforeLines="50" w:before="156" w:afterLines="50" w:after="156" w:line="360" w:lineRule="auto"/>
        <w:ind w:firstLineChars="200" w:firstLine="480"/>
        <w:rPr>
          <w:rFonts w:cs="Times New Roman"/>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）公司具有丰富的供水运营管理经验</w:t>
      </w:r>
    </w:p>
    <w:p w:rsidR="004C5A2C" w:rsidRDefault="0044144A">
      <w:pPr>
        <w:spacing w:line="360" w:lineRule="auto"/>
        <w:ind w:firstLineChars="200" w:firstLine="480"/>
        <w:rPr>
          <w:rFonts w:cs="Times New Roman"/>
        </w:rPr>
      </w:pPr>
      <w:r>
        <w:rPr>
          <w:rFonts w:cs="Times New Roman" w:hint="eastAsia"/>
          <w:color w:val="000000" w:themeColor="text1"/>
          <w:szCs w:val="24"/>
        </w:rPr>
        <w:t>公司是滨海新区引滦原水的主要供应商和部分区域的自来水供应商，具备稳定的市场份额和良好的服务品牌。公司多年运营多家水务公司，积累了丰富的运营管理经验，为扩展供水市场提供了必要条件。</w:t>
      </w:r>
    </w:p>
    <w:p w:rsidR="004C5A2C" w:rsidRDefault="0044144A">
      <w:pPr>
        <w:spacing w:beforeLines="50" w:before="156" w:afterLines="50" w:after="156" w:line="360" w:lineRule="auto"/>
        <w:ind w:firstLineChars="200" w:firstLine="480"/>
        <w:rPr>
          <w:rFonts w:cs="Times New Roman"/>
          <w:color w:val="000000" w:themeColor="text1"/>
        </w:rPr>
      </w:pPr>
      <w:r>
        <w:rPr>
          <w:rFonts w:cs="Times New Roman"/>
          <w:color w:val="000000" w:themeColor="text1"/>
          <w:szCs w:val="24"/>
        </w:rPr>
        <w:t>经过多年的经营积累和实践创新，公司已经形成一定特色的经营理念和模式，拥有高素质的长期从事供水业务管理的运营团队，以及较强的技术研发实力，为本项目的实施奠定了坚实的基础。</w:t>
      </w:r>
    </w:p>
    <w:p w:rsidR="004C5A2C" w:rsidRDefault="0044144A">
      <w:pPr>
        <w:spacing w:beforeLines="50" w:before="156" w:afterLines="50" w:after="156" w:line="360" w:lineRule="auto"/>
        <w:ind w:firstLineChars="200" w:firstLine="482"/>
        <w:rPr>
          <w:rFonts w:cs="Times New Roman"/>
          <w:b/>
        </w:rPr>
      </w:pPr>
      <w:r>
        <w:rPr>
          <w:rFonts w:cs="Times New Roman"/>
          <w:b/>
        </w:rPr>
        <w:lastRenderedPageBreak/>
        <w:t>4</w:t>
      </w:r>
      <w:r>
        <w:rPr>
          <w:rFonts w:cs="Times New Roman"/>
          <w:b/>
        </w:rPr>
        <w:t>、项目实施主体</w:t>
      </w:r>
    </w:p>
    <w:p w:rsidR="004C5A2C" w:rsidRDefault="0044144A">
      <w:pPr>
        <w:spacing w:beforeLines="50" w:before="156" w:afterLines="50" w:after="156" w:line="360" w:lineRule="auto"/>
        <w:ind w:firstLineChars="200" w:firstLine="480"/>
        <w:rPr>
          <w:rFonts w:cs="Times New Roman"/>
        </w:rPr>
      </w:pPr>
      <w:r>
        <w:rPr>
          <w:rFonts w:cs="Times New Roman"/>
        </w:rPr>
        <w:t>项目实施主体为公司控股子公司天津市泉达水务有限公司</w:t>
      </w:r>
      <w:r>
        <w:rPr>
          <w:rFonts w:cs="Times New Roman"/>
        </w:rPr>
        <w:t>。</w:t>
      </w:r>
    </w:p>
    <w:p w:rsidR="004C5A2C" w:rsidRDefault="0044144A">
      <w:pPr>
        <w:spacing w:beforeLines="50" w:before="156" w:afterLines="50" w:after="156" w:line="360" w:lineRule="auto"/>
        <w:ind w:firstLineChars="200" w:firstLine="482"/>
        <w:rPr>
          <w:rFonts w:cs="Times New Roman"/>
          <w:b/>
        </w:rPr>
      </w:pPr>
      <w:r>
        <w:rPr>
          <w:rFonts w:cs="Times New Roman"/>
          <w:b/>
        </w:rPr>
        <w:t>5</w:t>
      </w:r>
      <w:r>
        <w:rPr>
          <w:rFonts w:cs="Times New Roman"/>
          <w:b/>
        </w:rPr>
        <w:t>、项目投资概算</w:t>
      </w:r>
    </w:p>
    <w:p w:rsidR="004C5A2C" w:rsidRDefault="0044144A">
      <w:pPr>
        <w:spacing w:beforeLines="50" w:before="156" w:afterLines="50" w:after="156" w:line="360" w:lineRule="auto"/>
        <w:ind w:firstLineChars="200" w:firstLine="480"/>
        <w:rPr>
          <w:rFonts w:cs="Times New Roman"/>
        </w:rPr>
      </w:pPr>
      <w:r>
        <w:rPr>
          <w:rFonts w:cs="Times New Roman" w:hint="eastAsia"/>
        </w:rPr>
        <w:t>项目</w:t>
      </w:r>
      <w:r>
        <w:rPr>
          <w:rFonts w:cs="Times New Roman"/>
        </w:rPr>
        <w:t>拟投资</w:t>
      </w:r>
      <w:r>
        <w:rPr>
          <w:rFonts w:cs="Times New Roman" w:hint="eastAsia"/>
        </w:rPr>
        <w:t>规模</w:t>
      </w:r>
      <w:r>
        <w:rPr>
          <w:rFonts w:cs="Times New Roman"/>
        </w:rPr>
        <w:t>为</w:t>
      </w:r>
      <w:r>
        <w:rPr>
          <w:rFonts w:cs="Times New Roman"/>
        </w:rPr>
        <w:t>37,839.85</w:t>
      </w:r>
      <w:r>
        <w:rPr>
          <w:rFonts w:cs="Times New Roman"/>
        </w:rPr>
        <w:t>万元，主要为建设投资费用，包括建筑工程费、设备购置费、设备安装费、工程建设其他费用、预备费等。本次发行募集资金拟投入</w:t>
      </w:r>
      <w:r>
        <w:rPr>
          <w:rFonts w:cs="Times New Roman"/>
        </w:rPr>
        <w:t>21,000.00</w:t>
      </w:r>
      <w:r>
        <w:rPr>
          <w:rFonts w:cs="Times New Roman"/>
        </w:rPr>
        <w:t>万元。</w:t>
      </w:r>
    </w:p>
    <w:p w:rsidR="004C5A2C" w:rsidRDefault="0044144A">
      <w:pPr>
        <w:spacing w:beforeLines="50" w:before="156" w:afterLines="50" w:after="156" w:line="360" w:lineRule="auto"/>
        <w:ind w:firstLineChars="200" w:firstLine="482"/>
        <w:rPr>
          <w:rFonts w:cs="Times New Roman"/>
          <w:b/>
        </w:rPr>
      </w:pPr>
      <w:r>
        <w:rPr>
          <w:rFonts w:cs="Times New Roman"/>
          <w:b/>
        </w:rPr>
        <w:t>6</w:t>
      </w:r>
      <w:r>
        <w:rPr>
          <w:rFonts w:cs="Times New Roman"/>
          <w:b/>
        </w:rPr>
        <w:t>、建设期</w:t>
      </w:r>
    </w:p>
    <w:p w:rsidR="004C5A2C" w:rsidRDefault="0044144A">
      <w:pPr>
        <w:spacing w:beforeLines="50" w:before="156" w:afterLines="50" w:after="156" w:line="360" w:lineRule="auto"/>
        <w:ind w:firstLineChars="200" w:firstLine="480"/>
        <w:rPr>
          <w:rFonts w:cs="Times New Roman"/>
        </w:rPr>
      </w:pPr>
      <w:r>
        <w:rPr>
          <w:rFonts w:cs="Times New Roman"/>
        </w:rPr>
        <w:t>项目建设期为二年。</w:t>
      </w:r>
    </w:p>
    <w:p w:rsidR="004C5A2C" w:rsidRDefault="0044144A">
      <w:pPr>
        <w:spacing w:beforeLines="50" w:before="156" w:afterLines="50" w:after="156" w:line="360" w:lineRule="auto"/>
        <w:ind w:firstLineChars="200" w:firstLine="482"/>
        <w:rPr>
          <w:rFonts w:cs="Times New Roman"/>
          <w:b/>
        </w:rPr>
      </w:pPr>
      <w:r>
        <w:rPr>
          <w:rFonts w:cs="Times New Roman"/>
          <w:b/>
        </w:rPr>
        <w:t>7</w:t>
      </w:r>
      <w:r>
        <w:rPr>
          <w:rFonts w:cs="Times New Roman"/>
          <w:b/>
        </w:rPr>
        <w:t>、项目效益分析</w:t>
      </w:r>
    </w:p>
    <w:p w:rsidR="004C5A2C" w:rsidRDefault="0044144A">
      <w:pPr>
        <w:spacing w:beforeLines="50" w:before="156" w:afterLines="50" w:after="156" w:line="360" w:lineRule="auto"/>
        <w:ind w:firstLineChars="200" w:firstLine="480"/>
        <w:rPr>
          <w:rFonts w:cs="Times New Roman"/>
        </w:rPr>
      </w:pPr>
      <w:r>
        <w:rPr>
          <w:rFonts w:cs="Times New Roman"/>
        </w:rPr>
        <w:t>经过可行性论证及项目收益测算，本项目具有良好的经济效益。</w:t>
      </w:r>
    </w:p>
    <w:p w:rsidR="004C5A2C" w:rsidRDefault="0044144A">
      <w:pPr>
        <w:spacing w:beforeLines="50" w:before="156" w:afterLines="50" w:after="156" w:line="360" w:lineRule="auto"/>
        <w:ind w:firstLineChars="200" w:firstLine="482"/>
        <w:rPr>
          <w:rFonts w:cs="Times New Roman"/>
          <w:b/>
        </w:rPr>
      </w:pPr>
      <w:r>
        <w:rPr>
          <w:rFonts w:cs="Times New Roman"/>
          <w:b/>
        </w:rPr>
        <w:t>8</w:t>
      </w:r>
      <w:r>
        <w:rPr>
          <w:rFonts w:cs="Times New Roman"/>
          <w:b/>
        </w:rPr>
        <w:t>、项目审批情况</w:t>
      </w:r>
    </w:p>
    <w:p w:rsidR="004C5A2C" w:rsidRDefault="0044144A">
      <w:pPr>
        <w:spacing w:beforeLines="50" w:before="156" w:afterLines="50" w:after="156" w:line="360" w:lineRule="auto"/>
        <w:ind w:firstLineChars="200" w:firstLine="480"/>
        <w:rPr>
          <w:rFonts w:cs="Times New Roman"/>
          <w:color w:val="000000" w:themeColor="text1"/>
        </w:rPr>
      </w:pPr>
      <w:r>
        <w:rPr>
          <w:rFonts w:cs="Times New Roman"/>
          <w:color w:val="000000" w:themeColor="text1"/>
        </w:rPr>
        <w:t>本项目用地已取得编号为津</w:t>
      </w:r>
      <w:r>
        <w:rPr>
          <w:rFonts w:cs="Times New Roman"/>
          <w:color w:val="000000" w:themeColor="text1"/>
        </w:rPr>
        <w:t>2022</w:t>
      </w:r>
      <w:r>
        <w:rPr>
          <w:rFonts w:cs="Times New Roman"/>
          <w:color w:val="000000" w:themeColor="text1"/>
        </w:rPr>
        <w:t>宝坻区不动产权第</w:t>
      </w:r>
      <w:r>
        <w:rPr>
          <w:rFonts w:cs="Times New Roman"/>
          <w:color w:val="000000" w:themeColor="text1"/>
        </w:rPr>
        <w:t>1703566</w:t>
      </w:r>
      <w:r>
        <w:rPr>
          <w:rFonts w:cs="Times New Roman"/>
          <w:color w:val="000000" w:themeColor="text1"/>
        </w:rPr>
        <w:t>号的《不动产权证书》。本次募投项目已取得批复情况如下：</w:t>
      </w:r>
    </w:p>
    <w:tbl>
      <w:tblPr>
        <w:tblStyle w:val="a7"/>
        <w:tblW w:w="489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6"/>
        <w:gridCol w:w="4640"/>
        <w:gridCol w:w="2603"/>
      </w:tblGrid>
      <w:tr w:rsidR="004C5A2C" w:rsidTr="00201635">
        <w:trPr>
          <w:trHeight w:val="436"/>
          <w:jc w:val="center"/>
        </w:trPr>
        <w:tc>
          <w:tcPr>
            <w:tcW w:w="534" w:type="pct"/>
            <w:tcBorders>
              <w:tl2br w:val="nil"/>
              <w:tr2bl w:val="nil"/>
            </w:tcBorders>
            <w:vAlign w:val="center"/>
          </w:tcPr>
          <w:p w:rsidR="004C5A2C" w:rsidRDefault="0044144A">
            <w:pPr>
              <w:widowControl/>
              <w:jc w:val="center"/>
              <w:rPr>
                <w:rFonts w:cs="Times New Roman"/>
                <w:b/>
                <w:bCs/>
                <w:color w:val="000000"/>
                <w:kern w:val="0"/>
                <w:sz w:val="22"/>
                <w:lang w:bidi="ar"/>
              </w:rPr>
            </w:pPr>
            <w:r>
              <w:rPr>
                <w:rFonts w:cs="Times New Roman"/>
                <w:b/>
                <w:bCs/>
                <w:color w:val="000000"/>
                <w:kern w:val="0"/>
                <w:sz w:val="22"/>
                <w:lang w:bidi="ar"/>
              </w:rPr>
              <w:t>序号</w:t>
            </w:r>
          </w:p>
        </w:tc>
        <w:tc>
          <w:tcPr>
            <w:tcW w:w="2860" w:type="pct"/>
            <w:tcBorders>
              <w:tl2br w:val="nil"/>
              <w:tr2bl w:val="nil"/>
            </w:tcBorders>
            <w:vAlign w:val="center"/>
          </w:tcPr>
          <w:p w:rsidR="004C5A2C" w:rsidRDefault="0044144A">
            <w:pPr>
              <w:widowControl/>
              <w:jc w:val="center"/>
              <w:rPr>
                <w:rFonts w:cs="Times New Roman"/>
                <w:b/>
                <w:bCs/>
                <w:color w:val="000000"/>
                <w:kern w:val="0"/>
                <w:sz w:val="22"/>
                <w:lang w:bidi="ar"/>
              </w:rPr>
            </w:pPr>
            <w:r>
              <w:rPr>
                <w:rFonts w:cs="Times New Roman"/>
                <w:b/>
                <w:bCs/>
                <w:color w:val="000000"/>
                <w:kern w:val="0"/>
                <w:sz w:val="22"/>
                <w:lang w:bidi="ar"/>
              </w:rPr>
              <w:t>立项、环评、能评等文件</w:t>
            </w:r>
          </w:p>
        </w:tc>
        <w:tc>
          <w:tcPr>
            <w:tcW w:w="1604" w:type="pct"/>
            <w:tcBorders>
              <w:tl2br w:val="nil"/>
              <w:tr2bl w:val="nil"/>
            </w:tcBorders>
            <w:vAlign w:val="center"/>
          </w:tcPr>
          <w:p w:rsidR="004C5A2C" w:rsidRDefault="0044144A">
            <w:pPr>
              <w:widowControl/>
              <w:jc w:val="center"/>
              <w:rPr>
                <w:rFonts w:cs="Times New Roman"/>
                <w:b/>
                <w:bCs/>
                <w:color w:val="000000"/>
                <w:kern w:val="0"/>
                <w:sz w:val="22"/>
                <w:lang w:bidi="ar"/>
              </w:rPr>
            </w:pPr>
            <w:r>
              <w:rPr>
                <w:rFonts w:cs="Times New Roman"/>
                <w:b/>
                <w:bCs/>
                <w:color w:val="000000"/>
                <w:kern w:val="0"/>
                <w:sz w:val="22"/>
                <w:lang w:bidi="ar"/>
              </w:rPr>
              <w:t>发文单位</w:t>
            </w:r>
          </w:p>
        </w:tc>
      </w:tr>
      <w:tr w:rsidR="004C5A2C" w:rsidTr="00201635">
        <w:trPr>
          <w:trHeight w:val="302"/>
          <w:jc w:val="center"/>
        </w:trPr>
        <w:tc>
          <w:tcPr>
            <w:tcW w:w="534" w:type="pct"/>
            <w:tcBorders>
              <w:tl2br w:val="nil"/>
              <w:tr2bl w:val="nil"/>
            </w:tcBorders>
            <w:vAlign w:val="center"/>
          </w:tcPr>
          <w:p w:rsidR="004C5A2C" w:rsidRDefault="0044144A">
            <w:pPr>
              <w:widowControl/>
              <w:jc w:val="center"/>
              <w:rPr>
                <w:rFonts w:cs="Times New Roman"/>
                <w:color w:val="000000"/>
                <w:kern w:val="0"/>
                <w:sz w:val="22"/>
                <w:lang w:bidi="ar"/>
              </w:rPr>
            </w:pPr>
            <w:r>
              <w:rPr>
                <w:rFonts w:cs="Times New Roman"/>
                <w:color w:val="000000"/>
                <w:kern w:val="0"/>
                <w:sz w:val="22"/>
                <w:lang w:bidi="ar"/>
              </w:rPr>
              <w:t>1</w:t>
            </w:r>
          </w:p>
        </w:tc>
        <w:tc>
          <w:tcPr>
            <w:tcW w:w="2860" w:type="pct"/>
            <w:tcBorders>
              <w:tl2br w:val="nil"/>
              <w:tr2bl w:val="nil"/>
            </w:tcBorders>
            <w:vAlign w:val="center"/>
          </w:tcPr>
          <w:p w:rsidR="004C5A2C" w:rsidRDefault="0044144A">
            <w:pPr>
              <w:widowControl/>
              <w:jc w:val="left"/>
              <w:rPr>
                <w:rFonts w:cs="Times New Roman"/>
                <w:color w:val="000000"/>
                <w:kern w:val="0"/>
                <w:sz w:val="22"/>
                <w:lang w:bidi="ar"/>
              </w:rPr>
            </w:pPr>
            <w:r>
              <w:rPr>
                <w:rFonts w:cs="Times New Roman"/>
                <w:color w:val="000000"/>
                <w:kern w:val="0"/>
                <w:sz w:val="22"/>
                <w:lang w:bidi="ar"/>
              </w:rPr>
              <w:t>《关于新建宝坻新城第二水厂工程项目建议书的批复》津宝审批投资【</w:t>
            </w:r>
            <w:r>
              <w:rPr>
                <w:rFonts w:cs="Times New Roman"/>
                <w:color w:val="000000"/>
                <w:kern w:val="0"/>
                <w:sz w:val="22"/>
                <w:lang w:bidi="ar"/>
              </w:rPr>
              <w:t>2020</w:t>
            </w:r>
            <w:r>
              <w:rPr>
                <w:rFonts w:cs="Times New Roman"/>
                <w:color w:val="000000"/>
                <w:kern w:val="0"/>
                <w:sz w:val="22"/>
                <w:lang w:bidi="ar"/>
              </w:rPr>
              <w:t>】</w:t>
            </w:r>
            <w:r>
              <w:rPr>
                <w:rFonts w:cs="Times New Roman"/>
                <w:color w:val="000000"/>
                <w:kern w:val="0"/>
                <w:sz w:val="22"/>
                <w:lang w:bidi="ar"/>
              </w:rPr>
              <w:t>3</w:t>
            </w:r>
            <w:r>
              <w:rPr>
                <w:rFonts w:cs="Times New Roman"/>
                <w:color w:val="000000"/>
                <w:kern w:val="0"/>
                <w:sz w:val="22"/>
                <w:lang w:bidi="ar"/>
              </w:rPr>
              <w:t>号</w:t>
            </w:r>
          </w:p>
        </w:tc>
        <w:tc>
          <w:tcPr>
            <w:tcW w:w="1604" w:type="pct"/>
            <w:tcBorders>
              <w:tl2br w:val="nil"/>
              <w:tr2bl w:val="nil"/>
            </w:tcBorders>
            <w:vAlign w:val="center"/>
          </w:tcPr>
          <w:p w:rsidR="004C5A2C" w:rsidRDefault="0044144A">
            <w:pPr>
              <w:widowControl/>
              <w:rPr>
                <w:rFonts w:cs="Times New Roman"/>
                <w:color w:val="000000"/>
                <w:kern w:val="0"/>
                <w:sz w:val="22"/>
                <w:lang w:bidi="ar"/>
              </w:rPr>
            </w:pPr>
            <w:r>
              <w:rPr>
                <w:rFonts w:cs="Times New Roman"/>
                <w:color w:val="000000"/>
                <w:kern w:val="0"/>
                <w:sz w:val="22"/>
                <w:lang w:bidi="ar"/>
              </w:rPr>
              <w:t>天津市宝坻区行政审批局</w:t>
            </w:r>
          </w:p>
        </w:tc>
      </w:tr>
      <w:tr w:rsidR="004C5A2C" w:rsidTr="00201635">
        <w:trPr>
          <w:jc w:val="center"/>
        </w:trPr>
        <w:tc>
          <w:tcPr>
            <w:tcW w:w="534" w:type="pct"/>
            <w:tcBorders>
              <w:tl2br w:val="nil"/>
              <w:tr2bl w:val="nil"/>
            </w:tcBorders>
            <w:vAlign w:val="center"/>
          </w:tcPr>
          <w:p w:rsidR="004C5A2C" w:rsidRDefault="0044144A">
            <w:pPr>
              <w:widowControl/>
              <w:jc w:val="center"/>
              <w:rPr>
                <w:rFonts w:cs="Times New Roman"/>
                <w:color w:val="000000"/>
                <w:kern w:val="0"/>
                <w:sz w:val="22"/>
                <w:lang w:bidi="ar"/>
              </w:rPr>
            </w:pPr>
            <w:r>
              <w:rPr>
                <w:rFonts w:cs="Times New Roman"/>
                <w:color w:val="000000"/>
                <w:kern w:val="0"/>
                <w:sz w:val="22"/>
                <w:lang w:bidi="ar"/>
              </w:rPr>
              <w:t>2</w:t>
            </w:r>
          </w:p>
        </w:tc>
        <w:tc>
          <w:tcPr>
            <w:tcW w:w="2860" w:type="pct"/>
            <w:tcBorders>
              <w:tl2br w:val="nil"/>
              <w:tr2bl w:val="nil"/>
            </w:tcBorders>
            <w:vAlign w:val="center"/>
          </w:tcPr>
          <w:p w:rsidR="004C5A2C" w:rsidRDefault="0044144A">
            <w:pPr>
              <w:widowControl/>
              <w:jc w:val="left"/>
              <w:rPr>
                <w:rFonts w:cs="Times New Roman"/>
                <w:color w:val="000000"/>
                <w:kern w:val="0"/>
                <w:sz w:val="22"/>
                <w:lang w:bidi="ar"/>
              </w:rPr>
            </w:pPr>
            <w:r>
              <w:rPr>
                <w:rFonts w:cs="Times New Roman"/>
                <w:color w:val="000000"/>
                <w:kern w:val="0"/>
                <w:sz w:val="22"/>
                <w:lang w:bidi="ar"/>
              </w:rPr>
              <w:t>《关于新建宝坻新城第二水厂工程可行性研究报告的批复》津宝审批投资【</w:t>
            </w:r>
            <w:r>
              <w:rPr>
                <w:rFonts w:cs="Times New Roman"/>
                <w:color w:val="000000"/>
                <w:kern w:val="0"/>
                <w:sz w:val="22"/>
                <w:lang w:bidi="ar"/>
              </w:rPr>
              <w:t>2020</w:t>
            </w:r>
            <w:r>
              <w:rPr>
                <w:rFonts w:cs="Times New Roman"/>
                <w:color w:val="000000"/>
                <w:kern w:val="0"/>
                <w:sz w:val="22"/>
                <w:lang w:bidi="ar"/>
              </w:rPr>
              <w:t>】</w:t>
            </w:r>
            <w:r>
              <w:rPr>
                <w:rFonts w:cs="Times New Roman"/>
                <w:color w:val="000000"/>
                <w:kern w:val="0"/>
                <w:sz w:val="22"/>
                <w:lang w:bidi="ar"/>
              </w:rPr>
              <w:t>25</w:t>
            </w:r>
            <w:r>
              <w:rPr>
                <w:rFonts w:cs="Times New Roman"/>
                <w:color w:val="000000"/>
                <w:kern w:val="0"/>
                <w:sz w:val="22"/>
                <w:lang w:bidi="ar"/>
              </w:rPr>
              <w:t>号</w:t>
            </w:r>
          </w:p>
        </w:tc>
        <w:tc>
          <w:tcPr>
            <w:tcW w:w="1604" w:type="pct"/>
            <w:tcBorders>
              <w:tl2br w:val="nil"/>
              <w:tr2bl w:val="nil"/>
            </w:tcBorders>
            <w:vAlign w:val="center"/>
          </w:tcPr>
          <w:p w:rsidR="004C5A2C" w:rsidRDefault="0044144A">
            <w:pPr>
              <w:widowControl/>
              <w:rPr>
                <w:rFonts w:cs="Times New Roman"/>
                <w:color w:val="000000"/>
                <w:kern w:val="0"/>
                <w:sz w:val="22"/>
                <w:lang w:bidi="ar"/>
              </w:rPr>
            </w:pPr>
            <w:r>
              <w:rPr>
                <w:rFonts w:cs="Times New Roman"/>
                <w:color w:val="000000"/>
                <w:kern w:val="0"/>
                <w:sz w:val="22"/>
                <w:lang w:bidi="ar"/>
              </w:rPr>
              <w:t>天津市宝坻区行政审批局</w:t>
            </w:r>
          </w:p>
        </w:tc>
      </w:tr>
      <w:tr w:rsidR="004C5A2C" w:rsidTr="00201635">
        <w:trPr>
          <w:jc w:val="center"/>
        </w:trPr>
        <w:tc>
          <w:tcPr>
            <w:tcW w:w="534" w:type="pct"/>
            <w:tcBorders>
              <w:tl2br w:val="nil"/>
              <w:tr2bl w:val="nil"/>
            </w:tcBorders>
            <w:vAlign w:val="center"/>
          </w:tcPr>
          <w:p w:rsidR="004C5A2C" w:rsidRDefault="0044144A">
            <w:pPr>
              <w:widowControl/>
              <w:jc w:val="center"/>
              <w:rPr>
                <w:rFonts w:cs="Times New Roman"/>
                <w:color w:val="000000"/>
                <w:kern w:val="0"/>
                <w:sz w:val="22"/>
                <w:lang w:bidi="ar"/>
              </w:rPr>
            </w:pPr>
            <w:r>
              <w:rPr>
                <w:rFonts w:cs="Times New Roman"/>
                <w:color w:val="000000"/>
                <w:kern w:val="0"/>
                <w:sz w:val="22"/>
                <w:lang w:bidi="ar"/>
              </w:rPr>
              <w:t>3</w:t>
            </w:r>
          </w:p>
        </w:tc>
        <w:tc>
          <w:tcPr>
            <w:tcW w:w="2860" w:type="pct"/>
            <w:tcBorders>
              <w:tl2br w:val="nil"/>
              <w:tr2bl w:val="nil"/>
            </w:tcBorders>
            <w:vAlign w:val="center"/>
          </w:tcPr>
          <w:p w:rsidR="004C5A2C" w:rsidRDefault="0044144A">
            <w:pPr>
              <w:widowControl/>
              <w:jc w:val="left"/>
              <w:rPr>
                <w:rFonts w:cs="Times New Roman"/>
                <w:color w:val="000000"/>
                <w:kern w:val="0"/>
                <w:sz w:val="22"/>
                <w:lang w:bidi="ar"/>
              </w:rPr>
            </w:pPr>
            <w:r>
              <w:rPr>
                <w:rFonts w:cs="Times New Roman"/>
                <w:color w:val="000000"/>
                <w:kern w:val="0"/>
                <w:sz w:val="22"/>
                <w:lang w:bidi="ar"/>
              </w:rPr>
              <w:t>《关于新建宝坻新城第二水厂工程初步设计的批复》津宝审批投资【</w:t>
            </w:r>
            <w:r>
              <w:rPr>
                <w:rFonts w:cs="Times New Roman"/>
                <w:color w:val="000000"/>
                <w:kern w:val="0"/>
                <w:sz w:val="22"/>
                <w:lang w:bidi="ar"/>
              </w:rPr>
              <w:t>2020</w:t>
            </w:r>
            <w:r>
              <w:rPr>
                <w:rFonts w:cs="Times New Roman"/>
                <w:color w:val="000000"/>
                <w:kern w:val="0"/>
                <w:sz w:val="22"/>
                <w:lang w:bidi="ar"/>
              </w:rPr>
              <w:t>】</w:t>
            </w:r>
            <w:r>
              <w:rPr>
                <w:rFonts w:cs="Times New Roman"/>
                <w:color w:val="000000"/>
                <w:kern w:val="0"/>
                <w:sz w:val="22"/>
                <w:lang w:bidi="ar"/>
              </w:rPr>
              <w:t>59</w:t>
            </w:r>
            <w:r>
              <w:rPr>
                <w:rFonts w:cs="Times New Roman"/>
                <w:color w:val="000000"/>
                <w:kern w:val="0"/>
                <w:sz w:val="22"/>
                <w:lang w:bidi="ar"/>
              </w:rPr>
              <w:t>号</w:t>
            </w:r>
          </w:p>
        </w:tc>
        <w:tc>
          <w:tcPr>
            <w:tcW w:w="1604" w:type="pct"/>
            <w:tcBorders>
              <w:tl2br w:val="nil"/>
              <w:tr2bl w:val="nil"/>
            </w:tcBorders>
            <w:vAlign w:val="center"/>
          </w:tcPr>
          <w:p w:rsidR="004C5A2C" w:rsidRDefault="0044144A">
            <w:pPr>
              <w:widowControl/>
              <w:rPr>
                <w:rFonts w:cs="Times New Roman"/>
                <w:color w:val="000000"/>
                <w:kern w:val="0"/>
                <w:sz w:val="22"/>
                <w:lang w:bidi="ar"/>
              </w:rPr>
            </w:pPr>
            <w:r>
              <w:rPr>
                <w:rFonts w:cs="Times New Roman"/>
                <w:color w:val="000000"/>
                <w:kern w:val="0"/>
                <w:sz w:val="22"/>
                <w:lang w:bidi="ar"/>
              </w:rPr>
              <w:t>天津市宝坻区行政审批局</w:t>
            </w:r>
          </w:p>
        </w:tc>
      </w:tr>
      <w:tr w:rsidR="004C5A2C" w:rsidTr="00201635">
        <w:trPr>
          <w:jc w:val="center"/>
        </w:trPr>
        <w:tc>
          <w:tcPr>
            <w:tcW w:w="534" w:type="pct"/>
            <w:tcBorders>
              <w:tl2br w:val="nil"/>
              <w:tr2bl w:val="nil"/>
            </w:tcBorders>
            <w:vAlign w:val="center"/>
          </w:tcPr>
          <w:p w:rsidR="004C5A2C" w:rsidRDefault="0044144A">
            <w:pPr>
              <w:widowControl/>
              <w:jc w:val="center"/>
              <w:rPr>
                <w:rFonts w:cs="Times New Roman"/>
                <w:color w:val="000000"/>
                <w:kern w:val="0"/>
                <w:sz w:val="22"/>
                <w:lang w:bidi="ar"/>
              </w:rPr>
            </w:pPr>
            <w:r>
              <w:rPr>
                <w:rFonts w:cs="Times New Roman"/>
                <w:color w:val="000000"/>
                <w:kern w:val="0"/>
                <w:sz w:val="22"/>
                <w:lang w:bidi="ar"/>
              </w:rPr>
              <w:t>4</w:t>
            </w:r>
          </w:p>
        </w:tc>
        <w:tc>
          <w:tcPr>
            <w:tcW w:w="2860" w:type="pct"/>
            <w:tcBorders>
              <w:tl2br w:val="nil"/>
              <w:tr2bl w:val="nil"/>
            </w:tcBorders>
            <w:vAlign w:val="center"/>
          </w:tcPr>
          <w:p w:rsidR="004C5A2C" w:rsidRDefault="0044144A">
            <w:pPr>
              <w:widowControl/>
              <w:jc w:val="left"/>
              <w:rPr>
                <w:rFonts w:cs="Times New Roman"/>
                <w:color w:val="000000"/>
                <w:kern w:val="0"/>
                <w:sz w:val="22"/>
                <w:lang w:bidi="ar"/>
              </w:rPr>
            </w:pPr>
            <w:r>
              <w:rPr>
                <w:rFonts w:cs="Times New Roman"/>
                <w:color w:val="000000"/>
                <w:kern w:val="0"/>
                <w:sz w:val="21"/>
                <w:szCs w:val="21"/>
                <w:lang w:bidi="ar"/>
              </w:rPr>
              <w:t>《</w:t>
            </w:r>
            <w:r>
              <w:rPr>
                <w:rFonts w:cs="Times New Roman"/>
                <w:color w:val="000000"/>
                <w:kern w:val="0"/>
                <w:sz w:val="22"/>
                <w:lang w:bidi="ar"/>
              </w:rPr>
              <w:t>关于新建宝坻新城第二水厂工程</w:t>
            </w:r>
            <w:r>
              <w:rPr>
                <w:rFonts w:cs="Times New Roman"/>
                <w:color w:val="000000"/>
                <w:kern w:val="0"/>
                <w:sz w:val="21"/>
                <w:szCs w:val="21"/>
                <w:lang w:bidi="ar"/>
              </w:rPr>
              <w:t>环境影响报告表的批复》</w:t>
            </w:r>
            <w:r>
              <w:rPr>
                <w:rFonts w:cs="Times New Roman"/>
                <w:color w:val="000000"/>
                <w:kern w:val="0"/>
                <w:sz w:val="22"/>
                <w:lang w:bidi="ar"/>
              </w:rPr>
              <w:t>津宝审批许可【</w:t>
            </w:r>
            <w:r>
              <w:rPr>
                <w:rFonts w:cs="Times New Roman"/>
                <w:color w:val="000000"/>
                <w:kern w:val="0"/>
                <w:sz w:val="22"/>
                <w:lang w:bidi="ar"/>
              </w:rPr>
              <w:t>2020</w:t>
            </w:r>
            <w:r>
              <w:rPr>
                <w:rFonts w:cs="Times New Roman"/>
                <w:color w:val="000000"/>
                <w:kern w:val="0"/>
                <w:sz w:val="22"/>
                <w:lang w:bidi="ar"/>
              </w:rPr>
              <w:t>】</w:t>
            </w:r>
            <w:r>
              <w:rPr>
                <w:rFonts w:cs="Times New Roman"/>
                <w:color w:val="000000"/>
                <w:kern w:val="0"/>
                <w:sz w:val="22"/>
                <w:lang w:bidi="ar"/>
              </w:rPr>
              <w:t>68</w:t>
            </w:r>
            <w:r>
              <w:rPr>
                <w:rFonts w:cs="Times New Roman"/>
                <w:color w:val="000000"/>
                <w:kern w:val="0"/>
                <w:sz w:val="22"/>
                <w:lang w:bidi="ar"/>
              </w:rPr>
              <w:t>号</w:t>
            </w:r>
          </w:p>
        </w:tc>
        <w:tc>
          <w:tcPr>
            <w:tcW w:w="1604" w:type="pct"/>
            <w:tcBorders>
              <w:tl2br w:val="nil"/>
              <w:tr2bl w:val="nil"/>
            </w:tcBorders>
            <w:vAlign w:val="center"/>
          </w:tcPr>
          <w:p w:rsidR="004C5A2C" w:rsidRDefault="0044144A">
            <w:pPr>
              <w:widowControl/>
              <w:rPr>
                <w:rFonts w:cs="Times New Roman"/>
                <w:color w:val="000000"/>
                <w:kern w:val="0"/>
                <w:sz w:val="22"/>
                <w:lang w:bidi="ar"/>
              </w:rPr>
            </w:pPr>
            <w:r>
              <w:rPr>
                <w:rFonts w:cs="Times New Roman"/>
                <w:color w:val="000000"/>
                <w:kern w:val="0"/>
                <w:sz w:val="22"/>
                <w:lang w:bidi="ar"/>
              </w:rPr>
              <w:t>天津市宝坻区行政审批局</w:t>
            </w:r>
          </w:p>
        </w:tc>
      </w:tr>
      <w:tr w:rsidR="004C5A2C" w:rsidTr="00201635">
        <w:trPr>
          <w:jc w:val="center"/>
        </w:trPr>
        <w:tc>
          <w:tcPr>
            <w:tcW w:w="534" w:type="pct"/>
            <w:tcBorders>
              <w:tl2br w:val="nil"/>
              <w:tr2bl w:val="nil"/>
            </w:tcBorders>
            <w:vAlign w:val="center"/>
          </w:tcPr>
          <w:p w:rsidR="004C5A2C" w:rsidRDefault="0044144A">
            <w:pPr>
              <w:widowControl/>
              <w:jc w:val="center"/>
              <w:rPr>
                <w:rFonts w:cs="Times New Roman"/>
                <w:color w:val="000000"/>
                <w:kern w:val="0"/>
                <w:sz w:val="22"/>
                <w:lang w:bidi="ar"/>
              </w:rPr>
            </w:pPr>
            <w:r>
              <w:rPr>
                <w:rFonts w:cs="Times New Roman"/>
                <w:color w:val="000000"/>
                <w:kern w:val="0"/>
                <w:sz w:val="22"/>
                <w:lang w:bidi="ar"/>
              </w:rPr>
              <w:t>5</w:t>
            </w:r>
          </w:p>
        </w:tc>
        <w:tc>
          <w:tcPr>
            <w:tcW w:w="2860" w:type="pct"/>
            <w:tcBorders>
              <w:tl2br w:val="nil"/>
              <w:tr2bl w:val="nil"/>
            </w:tcBorders>
            <w:vAlign w:val="center"/>
          </w:tcPr>
          <w:p w:rsidR="004C5A2C" w:rsidRDefault="0044144A">
            <w:pPr>
              <w:widowControl/>
              <w:jc w:val="left"/>
              <w:rPr>
                <w:rFonts w:cs="Times New Roman"/>
                <w:color w:val="000000"/>
                <w:kern w:val="0"/>
                <w:sz w:val="22"/>
                <w:lang w:bidi="ar"/>
              </w:rPr>
            </w:pPr>
            <w:r>
              <w:rPr>
                <w:rFonts w:cs="Times New Roman"/>
                <w:color w:val="000000"/>
                <w:kern w:val="0"/>
                <w:sz w:val="22"/>
                <w:lang w:bidi="ar"/>
              </w:rPr>
              <w:t>《关于准予天津市泉达水务有限公司新建宝坻新城第二水厂工程合理用能审批予以通过的决定》津宝审批许可【</w:t>
            </w:r>
            <w:r>
              <w:rPr>
                <w:rFonts w:cs="Times New Roman"/>
                <w:color w:val="000000"/>
                <w:kern w:val="0"/>
                <w:sz w:val="22"/>
                <w:lang w:bidi="ar"/>
              </w:rPr>
              <w:t>2023</w:t>
            </w:r>
            <w:r>
              <w:rPr>
                <w:rFonts w:cs="Times New Roman"/>
                <w:color w:val="000000"/>
                <w:kern w:val="0"/>
                <w:sz w:val="22"/>
                <w:lang w:bidi="ar"/>
              </w:rPr>
              <w:t>】</w:t>
            </w:r>
            <w:r>
              <w:rPr>
                <w:rFonts w:cs="Times New Roman"/>
                <w:color w:val="000000"/>
                <w:kern w:val="0"/>
                <w:sz w:val="22"/>
                <w:lang w:bidi="ar"/>
              </w:rPr>
              <w:t>119</w:t>
            </w:r>
            <w:r>
              <w:rPr>
                <w:rFonts w:cs="Times New Roman"/>
                <w:color w:val="000000"/>
                <w:kern w:val="0"/>
                <w:sz w:val="22"/>
                <w:lang w:bidi="ar"/>
              </w:rPr>
              <w:t>号</w:t>
            </w:r>
          </w:p>
        </w:tc>
        <w:tc>
          <w:tcPr>
            <w:tcW w:w="1604" w:type="pct"/>
            <w:tcBorders>
              <w:tl2br w:val="nil"/>
              <w:tr2bl w:val="nil"/>
            </w:tcBorders>
            <w:vAlign w:val="center"/>
          </w:tcPr>
          <w:p w:rsidR="004C5A2C" w:rsidRDefault="0044144A">
            <w:pPr>
              <w:widowControl/>
              <w:rPr>
                <w:rFonts w:cs="Times New Roman"/>
                <w:color w:val="000000"/>
                <w:kern w:val="0"/>
                <w:sz w:val="22"/>
                <w:lang w:bidi="ar"/>
              </w:rPr>
            </w:pPr>
            <w:r>
              <w:rPr>
                <w:rFonts w:cs="Times New Roman"/>
                <w:color w:val="000000"/>
                <w:kern w:val="0"/>
                <w:sz w:val="22"/>
                <w:lang w:bidi="ar"/>
              </w:rPr>
              <w:t>天津市宝坻区行政审批局</w:t>
            </w:r>
          </w:p>
        </w:tc>
      </w:tr>
    </w:tbl>
    <w:p w:rsidR="004C5A2C" w:rsidRDefault="0044144A">
      <w:pPr>
        <w:pStyle w:val="3"/>
        <w:spacing w:before="120" w:after="120" w:line="360" w:lineRule="auto"/>
        <w:ind w:firstLineChars="200" w:firstLine="482"/>
        <w:rPr>
          <w:rFonts w:cs="Times New Roman"/>
          <w:sz w:val="24"/>
        </w:rPr>
      </w:pPr>
      <w:r>
        <w:rPr>
          <w:rFonts w:cs="Times New Roman"/>
          <w:sz w:val="24"/>
        </w:rPr>
        <w:t>（二）补充流动资金</w:t>
      </w:r>
    </w:p>
    <w:p w:rsidR="004C5A2C" w:rsidRDefault="0044144A">
      <w:pPr>
        <w:spacing w:beforeLines="50" w:before="156" w:afterLines="50" w:after="156" w:line="360" w:lineRule="auto"/>
        <w:ind w:firstLineChars="200" w:firstLine="482"/>
        <w:rPr>
          <w:rFonts w:cs="Times New Roman"/>
          <w:b/>
        </w:rPr>
      </w:pPr>
      <w:r>
        <w:rPr>
          <w:rFonts w:cs="Times New Roman"/>
          <w:b/>
        </w:rPr>
        <w:t>1</w:t>
      </w:r>
      <w:r>
        <w:rPr>
          <w:rFonts w:cs="Times New Roman"/>
          <w:b/>
        </w:rPr>
        <w:t>、</w:t>
      </w:r>
      <w:r>
        <w:rPr>
          <w:rFonts w:cs="Times New Roman"/>
          <w:b/>
        </w:rPr>
        <w:t>项目的基本情况</w:t>
      </w:r>
    </w:p>
    <w:p w:rsidR="004C5A2C" w:rsidRDefault="0044144A">
      <w:pPr>
        <w:spacing w:beforeLines="50" w:before="156" w:afterLines="50" w:after="156" w:line="360" w:lineRule="auto"/>
        <w:ind w:firstLineChars="200" w:firstLine="480"/>
        <w:rPr>
          <w:rFonts w:cs="Times New Roman"/>
        </w:rPr>
      </w:pPr>
      <w:r>
        <w:rPr>
          <w:rFonts w:cs="Times New Roman"/>
        </w:rPr>
        <w:t>本次发行，公司拟使用不超过</w:t>
      </w:r>
      <w:r>
        <w:rPr>
          <w:rFonts w:cs="Times New Roman"/>
        </w:rPr>
        <w:t>9,000.00</w:t>
      </w:r>
      <w:r>
        <w:rPr>
          <w:rFonts w:cs="Times New Roman"/>
        </w:rPr>
        <w:t>万元募集资金用于补充流动资金，以满足公司主营业务持续发展的资金需求，并改善公司资产结构，提升抗风险能力。</w:t>
      </w:r>
    </w:p>
    <w:p w:rsidR="004C5A2C" w:rsidRDefault="0044144A">
      <w:pPr>
        <w:spacing w:beforeLines="50" w:before="156" w:afterLines="50" w:after="156" w:line="360" w:lineRule="auto"/>
        <w:ind w:firstLineChars="200" w:firstLine="482"/>
        <w:rPr>
          <w:rFonts w:cs="Times New Roman"/>
          <w:b/>
        </w:rPr>
      </w:pPr>
      <w:r>
        <w:rPr>
          <w:rFonts w:cs="Times New Roman"/>
          <w:b/>
        </w:rPr>
        <w:lastRenderedPageBreak/>
        <w:t>2</w:t>
      </w:r>
      <w:r>
        <w:rPr>
          <w:rFonts w:cs="Times New Roman"/>
          <w:b/>
        </w:rPr>
        <w:t>、</w:t>
      </w:r>
      <w:r>
        <w:rPr>
          <w:rFonts w:cs="Times New Roman"/>
          <w:b/>
        </w:rPr>
        <w:t>项目的必要性分析</w:t>
      </w:r>
    </w:p>
    <w:p w:rsidR="004C5A2C" w:rsidRDefault="0044144A">
      <w:pPr>
        <w:spacing w:beforeLines="50" w:before="156" w:afterLines="50" w:after="156" w:line="360" w:lineRule="auto"/>
        <w:ind w:firstLineChars="200" w:firstLine="480"/>
        <w:rPr>
          <w:rFonts w:cs="Times New Roman"/>
          <w:color w:val="000000" w:themeColor="text1"/>
          <w:szCs w:val="24"/>
        </w:rPr>
      </w:pPr>
      <w:r>
        <w:rPr>
          <w:rFonts w:cs="Times New Roman"/>
          <w:color w:val="000000" w:themeColor="text1"/>
          <w:szCs w:val="24"/>
        </w:rPr>
        <w:t>（</w:t>
      </w:r>
      <w:r>
        <w:rPr>
          <w:rFonts w:cs="Times New Roman"/>
          <w:color w:val="000000" w:themeColor="text1"/>
          <w:szCs w:val="24"/>
        </w:rPr>
        <w:t>1</w:t>
      </w:r>
      <w:r>
        <w:rPr>
          <w:rFonts w:cs="Times New Roman"/>
          <w:color w:val="000000" w:themeColor="text1"/>
          <w:szCs w:val="24"/>
        </w:rPr>
        <w:t>）公司业务扩张，需要充足的流动资金保障</w:t>
      </w:r>
    </w:p>
    <w:p w:rsidR="004C5A2C" w:rsidRDefault="0044144A">
      <w:pPr>
        <w:spacing w:beforeLines="50" w:before="156" w:afterLines="50" w:after="156" w:line="360" w:lineRule="auto"/>
        <w:ind w:firstLineChars="200" w:firstLine="480"/>
        <w:rPr>
          <w:rFonts w:cs="Times New Roman"/>
          <w:color w:val="000000" w:themeColor="text1"/>
          <w:szCs w:val="24"/>
        </w:rPr>
      </w:pPr>
      <w:r>
        <w:rPr>
          <w:rFonts w:cs="Times New Roman"/>
          <w:color w:val="000000" w:themeColor="text1"/>
          <w:szCs w:val="24"/>
        </w:rPr>
        <w:t>随着公司业务拓展，公司流动资金需求也将随之增长。本次补充流动资金与公司未来生产经营规模、资产规模、业务开展情况等相匹配，有助于满足公司未来对于流动资金的需求。</w:t>
      </w:r>
    </w:p>
    <w:p w:rsidR="004C5A2C" w:rsidRDefault="0044144A">
      <w:pPr>
        <w:spacing w:beforeLines="50" w:before="156" w:afterLines="50" w:after="156" w:line="360" w:lineRule="auto"/>
        <w:ind w:firstLineChars="200" w:firstLine="480"/>
        <w:rPr>
          <w:rFonts w:cs="Times New Roman"/>
          <w:color w:val="000000" w:themeColor="text1"/>
          <w:szCs w:val="24"/>
        </w:rPr>
      </w:pPr>
      <w:r>
        <w:rPr>
          <w:rFonts w:cs="Times New Roman"/>
          <w:color w:val="000000" w:themeColor="text1"/>
          <w:szCs w:val="24"/>
        </w:rPr>
        <w:t>（</w:t>
      </w:r>
      <w:r>
        <w:rPr>
          <w:rFonts w:cs="Times New Roman"/>
          <w:color w:val="000000" w:themeColor="text1"/>
          <w:szCs w:val="24"/>
        </w:rPr>
        <w:t>2</w:t>
      </w:r>
      <w:r>
        <w:rPr>
          <w:rFonts w:cs="Times New Roman"/>
          <w:color w:val="000000" w:themeColor="text1"/>
          <w:szCs w:val="24"/>
        </w:rPr>
        <w:t>）优化资本结构，提升抗风险能力</w:t>
      </w:r>
    </w:p>
    <w:p w:rsidR="004C5A2C" w:rsidRDefault="0044144A">
      <w:pPr>
        <w:spacing w:beforeLines="50" w:before="156" w:afterLines="50" w:after="156" w:line="360" w:lineRule="auto"/>
        <w:ind w:firstLineChars="200" w:firstLine="480"/>
        <w:rPr>
          <w:rFonts w:cs="Times New Roman"/>
        </w:rPr>
      </w:pPr>
      <w:r>
        <w:rPr>
          <w:rFonts w:cs="Times New Roman"/>
        </w:rPr>
        <w:t>近年来，随着公司现有主营业务的发展，以及募集资金投资项目的建设实施，公司生产和销售规模会持续扩大，需要筹集更多资金来满足流动资金需求。本次补充流动资金有利于满足公司未来业务发展的流动资金需求，优化公司的资本结构，增强公司资本实力，使公司的持续经营能力和抗风险能力得到进一步提升，具有必要性。</w:t>
      </w:r>
    </w:p>
    <w:p w:rsidR="004C5A2C" w:rsidRDefault="0044144A">
      <w:pPr>
        <w:pStyle w:val="2"/>
        <w:spacing w:before="120" w:after="120" w:line="360" w:lineRule="auto"/>
        <w:rPr>
          <w:rFonts w:ascii="Times New Roman" w:eastAsia="黑体" w:hAnsi="Times New Roman" w:cs="Times New Roman"/>
          <w:sz w:val="28"/>
        </w:rPr>
      </w:pPr>
      <w:bookmarkStart w:id="5" w:name="_Toc146198219"/>
      <w:r>
        <w:rPr>
          <w:rFonts w:ascii="Times New Roman" w:eastAsia="黑体" w:hAnsi="Times New Roman" w:cs="Times New Roman"/>
          <w:sz w:val="28"/>
        </w:rPr>
        <w:t>三、本次发行对公司经营管</w:t>
      </w:r>
      <w:r>
        <w:rPr>
          <w:rFonts w:ascii="Times New Roman" w:eastAsia="黑体" w:hAnsi="Times New Roman" w:cs="Times New Roman"/>
          <w:sz w:val="28"/>
        </w:rPr>
        <w:t>理、财务状况的影响</w:t>
      </w:r>
      <w:bookmarkEnd w:id="5"/>
      <w:r>
        <w:rPr>
          <w:rFonts w:ascii="Times New Roman" w:eastAsia="黑体" w:hAnsi="Times New Roman" w:cs="Times New Roman"/>
          <w:sz w:val="28"/>
        </w:rPr>
        <w:tab/>
      </w:r>
    </w:p>
    <w:p w:rsidR="004C5A2C" w:rsidRDefault="0044144A">
      <w:pPr>
        <w:pStyle w:val="3"/>
        <w:spacing w:before="120" w:after="120" w:line="360" w:lineRule="auto"/>
        <w:ind w:firstLineChars="200" w:firstLine="482"/>
        <w:rPr>
          <w:rFonts w:cs="Times New Roman"/>
          <w:sz w:val="24"/>
        </w:rPr>
      </w:pPr>
      <w:r>
        <w:rPr>
          <w:rFonts w:cs="Times New Roman"/>
          <w:sz w:val="24"/>
        </w:rPr>
        <w:t>（一）本次发行对公司经营管理的影响</w:t>
      </w:r>
    </w:p>
    <w:p w:rsidR="004C5A2C" w:rsidRDefault="0044144A">
      <w:pPr>
        <w:widowControl/>
        <w:kinsoku w:val="0"/>
        <w:autoSpaceDE w:val="0"/>
        <w:autoSpaceDN w:val="0"/>
        <w:adjustRightInd w:val="0"/>
        <w:snapToGrid w:val="0"/>
        <w:spacing w:line="360" w:lineRule="auto"/>
        <w:ind w:firstLineChars="200" w:firstLine="480"/>
        <w:jc w:val="left"/>
        <w:textAlignment w:val="baseline"/>
        <w:rPr>
          <w:rFonts w:eastAsia="Arial" w:cs="Times New Roman"/>
          <w:snapToGrid w:val="0"/>
          <w:color w:val="000000"/>
          <w:kern w:val="0"/>
          <w:sz w:val="21"/>
          <w:szCs w:val="21"/>
        </w:rPr>
      </w:pPr>
      <w:r>
        <w:rPr>
          <w:rFonts w:cs="Times New Roman"/>
        </w:rPr>
        <w:t>本次募投项目符合国家产业政策和公司未来战略发展规划，有利于公司把握市场机遇，扩大业务规模，提升公司综合实力，进一步增强公司可持续发展能力，为公司未来业务发展提供持续动力。因此，本次发行将对公司经营业务产生积极影响，有利于公司未来业务的扩展，提升公司的核心竞争力，实现并维护股东的长远利益。</w:t>
      </w:r>
    </w:p>
    <w:p w:rsidR="004C5A2C" w:rsidRDefault="0044144A">
      <w:pPr>
        <w:pStyle w:val="3"/>
        <w:spacing w:before="120" w:after="120" w:line="360" w:lineRule="auto"/>
        <w:ind w:firstLineChars="200" w:firstLine="482"/>
        <w:rPr>
          <w:rFonts w:cs="Times New Roman"/>
          <w:sz w:val="24"/>
        </w:rPr>
      </w:pPr>
      <w:r>
        <w:rPr>
          <w:rFonts w:cs="Times New Roman"/>
          <w:sz w:val="24"/>
        </w:rPr>
        <w:t>（二）本次发行对公司财务状况的影响</w:t>
      </w:r>
    </w:p>
    <w:p w:rsidR="004C5A2C" w:rsidRDefault="0044144A">
      <w:pPr>
        <w:spacing w:beforeLines="50" w:before="156" w:afterLines="50" w:after="156" w:line="360" w:lineRule="auto"/>
        <w:ind w:firstLineChars="200" w:firstLine="480"/>
        <w:rPr>
          <w:rFonts w:cs="Times New Roman"/>
        </w:rPr>
      </w:pPr>
      <w:bookmarkStart w:id="6" w:name="bookmark19"/>
      <w:bookmarkEnd w:id="6"/>
      <w:r>
        <w:rPr>
          <w:rFonts w:cs="Times New Roman"/>
        </w:rPr>
        <w:t>本次发行完成后，公司的总资产及净资产规模均有所提高，资金实力将得到增强。同时，本次募投项目具有良好的经济效益，随着募投项目建成投产以及效益的实现，公司主营业务的盈利能力也将得以加强，公司总体现金流状况将得到进一步优化，从而为公司后续发展提供有力保障。</w:t>
      </w:r>
    </w:p>
    <w:p w:rsidR="004C5A2C" w:rsidRDefault="0044144A">
      <w:pPr>
        <w:pStyle w:val="2"/>
        <w:spacing w:before="120" w:after="120" w:line="360" w:lineRule="auto"/>
        <w:rPr>
          <w:rFonts w:ascii="Times New Roman" w:eastAsia="黑体" w:hAnsi="Times New Roman" w:cs="Times New Roman"/>
          <w:sz w:val="28"/>
        </w:rPr>
      </w:pPr>
      <w:bookmarkStart w:id="7" w:name="_Toc146198220"/>
      <w:r>
        <w:rPr>
          <w:rFonts w:ascii="Times New Roman" w:eastAsia="黑体" w:hAnsi="Times New Roman" w:cs="Times New Roman"/>
          <w:sz w:val="28"/>
        </w:rPr>
        <w:t>四、本次募集资金投资项目可行性分析结论</w:t>
      </w:r>
      <w:bookmarkEnd w:id="7"/>
      <w:r>
        <w:rPr>
          <w:rFonts w:ascii="Times New Roman" w:eastAsia="黑体" w:hAnsi="Times New Roman" w:cs="Times New Roman"/>
          <w:sz w:val="28"/>
        </w:rPr>
        <w:tab/>
      </w:r>
    </w:p>
    <w:p w:rsidR="004C5A2C" w:rsidRDefault="0044144A">
      <w:pPr>
        <w:spacing w:beforeLines="50" w:before="156" w:afterLines="50" w:after="156" w:line="360" w:lineRule="auto"/>
        <w:ind w:firstLineChars="200" w:firstLine="480"/>
        <w:rPr>
          <w:rFonts w:cs="Times New Roman"/>
        </w:rPr>
      </w:pPr>
      <w:r>
        <w:rPr>
          <w:rFonts w:cs="Times New Roman"/>
        </w:rPr>
        <w:t>综上所述，公司本次发行股票的募集资金投资项目符合国家的产业政策和公</w:t>
      </w:r>
      <w:r>
        <w:rPr>
          <w:rFonts w:cs="Times New Roman"/>
        </w:rPr>
        <w:lastRenderedPageBreak/>
        <w:t>司的战略发展规划，募集资金投资项目属于公司主营业务范围，市场前景良好、盈利能力较强，有利于增强公司的核心竞争力、促进公司的可持续发展，具有可行性和必要性</w:t>
      </w:r>
      <w:r>
        <w:rPr>
          <w:rFonts w:cs="Times New Roman"/>
        </w:rPr>
        <w:t>，符合公司及全体股东利益。</w:t>
      </w:r>
    </w:p>
    <w:p w:rsidR="004C5A2C" w:rsidRDefault="004C5A2C">
      <w:pPr>
        <w:spacing w:beforeLines="50" w:before="156" w:afterLines="50" w:after="156" w:line="360" w:lineRule="auto"/>
        <w:rPr>
          <w:rFonts w:cs="Times New Roman"/>
        </w:rPr>
      </w:pPr>
    </w:p>
    <w:p w:rsidR="004C5A2C" w:rsidRDefault="004C5A2C">
      <w:pPr>
        <w:spacing w:beforeLines="50" w:before="156" w:afterLines="50" w:after="156" w:line="360" w:lineRule="auto"/>
        <w:ind w:firstLineChars="200" w:firstLine="480"/>
        <w:rPr>
          <w:rFonts w:cs="Times New Roman"/>
        </w:rPr>
      </w:pPr>
    </w:p>
    <w:p w:rsidR="004C5A2C" w:rsidRDefault="004C5A2C">
      <w:pPr>
        <w:spacing w:beforeLines="50" w:before="156" w:afterLines="50" w:after="156" w:line="360" w:lineRule="auto"/>
        <w:ind w:firstLineChars="200" w:firstLine="480"/>
        <w:rPr>
          <w:rFonts w:cs="Times New Roman"/>
        </w:rPr>
      </w:pPr>
    </w:p>
    <w:p w:rsidR="004C5A2C" w:rsidRDefault="0044144A">
      <w:pPr>
        <w:spacing w:beforeLines="50" w:before="156" w:afterLines="50" w:after="156" w:line="360" w:lineRule="auto"/>
        <w:ind w:firstLineChars="200" w:firstLine="480"/>
        <w:jc w:val="right"/>
        <w:rPr>
          <w:rFonts w:cs="Times New Roman"/>
        </w:rPr>
      </w:pPr>
      <w:r>
        <w:rPr>
          <w:rFonts w:cs="Times New Roman"/>
        </w:rPr>
        <w:t>渤海水业股份有限公司董事会</w:t>
      </w:r>
    </w:p>
    <w:p w:rsidR="004C5A2C" w:rsidRDefault="0044144A">
      <w:pPr>
        <w:wordWrap w:val="0"/>
        <w:spacing w:beforeLines="50" w:before="156" w:afterLines="50" w:after="156" w:line="360" w:lineRule="auto"/>
        <w:ind w:firstLineChars="200" w:firstLine="480"/>
        <w:jc w:val="right"/>
        <w:rPr>
          <w:rFonts w:cs="Times New Roman"/>
        </w:rPr>
      </w:pPr>
      <w:r>
        <w:rPr>
          <w:rFonts w:cs="Times New Roman"/>
        </w:rPr>
        <w:t>2024</w:t>
      </w:r>
      <w:r>
        <w:rPr>
          <w:rFonts w:cs="Times New Roman"/>
        </w:rPr>
        <w:t>年</w:t>
      </w:r>
      <w:r>
        <w:rPr>
          <w:rFonts w:cs="Times New Roman"/>
        </w:rPr>
        <w:t>1</w:t>
      </w:r>
      <w:r>
        <w:rPr>
          <w:rFonts w:cs="Times New Roman"/>
        </w:rPr>
        <w:t>月</w:t>
      </w:r>
      <w:r>
        <w:rPr>
          <w:rFonts w:cs="Times New Roman"/>
        </w:rPr>
        <w:t>12</w:t>
      </w:r>
      <w:r>
        <w:rPr>
          <w:rFonts w:cs="Times New Roman"/>
        </w:rPr>
        <w:t>日</w:t>
      </w:r>
      <w:r>
        <w:rPr>
          <w:rFonts w:cs="Times New Roman"/>
        </w:rPr>
        <w:t xml:space="preserve">     </w:t>
      </w:r>
    </w:p>
    <w:p w:rsidR="004C5A2C" w:rsidRDefault="004C5A2C">
      <w:pPr>
        <w:rPr>
          <w:rFonts w:cs="Times New Roman"/>
        </w:rPr>
      </w:pPr>
    </w:p>
    <w:sectPr w:rsidR="004C5A2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44A" w:rsidRDefault="0044144A">
      <w:r>
        <w:separator/>
      </w:r>
    </w:p>
  </w:endnote>
  <w:endnote w:type="continuationSeparator" w:id="0">
    <w:p w:rsidR="0044144A" w:rsidRDefault="0044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2C" w:rsidRDefault="004C5A2C">
    <w:pPr>
      <w:pStyle w:val="a5"/>
      <w:jc w:val="center"/>
    </w:pPr>
  </w:p>
  <w:p w:rsidR="004C5A2C" w:rsidRDefault="004C5A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455506"/>
      <w:docPartObj>
        <w:docPartGallery w:val="AutoText"/>
      </w:docPartObj>
    </w:sdtPr>
    <w:sdtEndPr/>
    <w:sdtContent>
      <w:p w:rsidR="004C5A2C" w:rsidRDefault="0044144A">
        <w:pPr>
          <w:pStyle w:val="a5"/>
          <w:jc w:val="center"/>
        </w:pPr>
        <w:r>
          <w:fldChar w:fldCharType="begin"/>
        </w:r>
        <w:r>
          <w:instrText>PAGE   \* MERGEFORMAT</w:instrText>
        </w:r>
        <w:r>
          <w:fldChar w:fldCharType="separate"/>
        </w:r>
        <w:r w:rsidR="00201635" w:rsidRPr="00201635">
          <w:rPr>
            <w:noProof/>
            <w:lang w:val="zh-CN"/>
          </w:rPr>
          <w:t>1</w:t>
        </w:r>
        <w:r>
          <w:fldChar w:fldCharType="end"/>
        </w:r>
      </w:p>
    </w:sdtContent>
  </w:sdt>
  <w:p w:rsidR="004C5A2C" w:rsidRDefault="004C5A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44A" w:rsidRDefault="0044144A">
      <w:r>
        <w:separator/>
      </w:r>
    </w:p>
  </w:footnote>
  <w:footnote w:type="continuationSeparator" w:id="0">
    <w:p w:rsidR="0044144A" w:rsidRDefault="00441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zU3ZWZhMDI4NWNkYTMyNzkxOTM5NjcwNzJiNWYifQ=="/>
  </w:docVars>
  <w:rsids>
    <w:rsidRoot w:val="006A641D"/>
    <w:rsid w:val="000A122A"/>
    <w:rsid w:val="001176CA"/>
    <w:rsid w:val="0012354F"/>
    <w:rsid w:val="001737BE"/>
    <w:rsid w:val="001905E6"/>
    <w:rsid w:val="00192E36"/>
    <w:rsid w:val="00201635"/>
    <w:rsid w:val="002326F4"/>
    <w:rsid w:val="002356C5"/>
    <w:rsid w:val="00237F87"/>
    <w:rsid w:val="0035038E"/>
    <w:rsid w:val="003B0728"/>
    <w:rsid w:val="003E2355"/>
    <w:rsid w:val="003F5E66"/>
    <w:rsid w:val="004200EF"/>
    <w:rsid w:val="0044144A"/>
    <w:rsid w:val="004B1C51"/>
    <w:rsid w:val="004C5A2C"/>
    <w:rsid w:val="00516AC0"/>
    <w:rsid w:val="00580CDA"/>
    <w:rsid w:val="00663415"/>
    <w:rsid w:val="006A641D"/>
    <w:rsid w:val="006B120A"/>
    <w:rsid w:val="006C2E0C"/>
    <w:rsid w:val="006D1431"/>
    <w:rsid w:val="006E09C6"/>
    <w:rsid w:val="0079512E"/>
    <w:rsid w:val="007D1A8D"/>
    <w:rsid w:val="00873334"/>
    <w:rsid w:val="008A0562"/>
    <w:rsid w:val="008E010A"/>
    <w:rsid w:val="00972E15"/>
    <w:rsid w:val="009D2ED2"/>
    <w:rsid w:val="009F2783"/>
    <w:rsid w:val="00A06F4D"/>
    <w:rsid w:val="00AD1D4F"/>
    <w:rsid w:val="00AD54E1"/>
    <w:rsid w:val="00AE2CA7"/>
    <w:rsid w:val="00B43D5D"/>
    <w:rsid w:val="00B82745"/>
    <w:rsid w:val="00BD5DFD"/>
    <w:rsid w:val="00BE7D93"/>
    <w:rsid w:val="00C251CC"/>
    <w:rsid w:val="00CB5D1D"/>
    <w:rsid w:val="00CE1214"/>
    <w:rsid w:val="00D7481E"/>
    <w:rsid w:val="00DB261A"/>
    <w:rsid w:val="00E303EA"/>
    <w:rsid w:val="00E4174C"/>
    <w:rsid w:val="00E81A2C"/>
    <w:rsid w:val="00EB57A4"/>
    <w:rsid w:val="00FF5C6A"/>
    <w:rsid w:val="0CB6424F"/>
    <w:rsid w:val="24BA2111"/>
    <w:rsid w:val="291872CC"/>
    <w:rsid w:val="294E7AD1"/>
    <w:rsid w:val="30F6668B"/>
    <w:rsid w:val="3D221D31"/>
    <w:rsid w:val="428C34A8"/>
    <w:rsid w:val="51093BA6"/>
    <w:rsid w:val="52C46DF3"/>
    <w:rsid w:val="59372DB8"/>
    <w:rsid w:val="7250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B15C9F-CF2A-455A-A43D-0341D8E3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cstheme="minorBidi"/>
      <w:kern w:val="2"/>
      <w:sz w:val="24"/>
      <w:szCs w:val="22"/>
    </w:rPr>
  </w:style>
  <w:style w:type="paragraph" w:styleId="1">
    <w:name w:val="heading 1"/>
    <w:basedOn w:val="a"/>
    <w:next w:val="a"/>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 w:val="21"/>
      <w:szCs w:val="21"/>
      <w:lang w:eastAsia="en-US"/>
    </w:rPr>
  </w:style>
  <w:style w:type="paragraph" w:styleId="a4">
    <w:name w:val="Balloon Text"/>
    <w:basedOn w:val="a"/>
    <w:link w:val="Char"/>
    <w:autoRedefine/>
    <w:qFormat/>
    <w:rPr>
      <w:sz w:val="18"/>
      <w:szCs w:val="18"/>
    </w:rPr>
  </w:style>
  <w:style w:type="paragraph" w:styleId="a5">
    <w:name w:val="footer"/>
    <w:basedOn w:val="a"/>
    <w:link w:val="Char0"/>
    <w:autoRedefine/>
    <w:uiPriority w:val="99"/>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autoRedefine/>
    <w:uiPriority w:val="99"/>
    <w:semiHidden/>
    <w:unhideWhenUsed/>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Char1">
    <w:name w:val="页眉 Char"/>
    <w:basedOn w:val="a0"/>
    <w:link w:val="a6"/>
    <w:autoRedefine/>
    <w:qFormat/>
    <w:rPr>
      <w:rFonts w:cstheme="minorBidi"/>
      <w:kern w:val="2"/>
      <w:sz w:val="18"/>
      <w:szCs w:val="18"/>
    </w:rPr>
  </w:style>
  <w:style w:type="character" w:customStyle="1" w:styleId="Char0">
    <w:name w:val="页脚 Char"/>
    <w:basedOn w:val="a0"/>
    <w:link w:val="a5"/>
    <w:autoRedefine/>
    <w:uiPriority w:val="99"/>
    <w:qFormat/>
    <w:rPr>
      <w:rFonts w:cstheme="minorBidi"/>
      <w:kern w:val="2"/>
      <w:sz w:val="18"/>
      <w:szCs w:val="18"/>
    </w:rPr>
  </w:style>
  <w:style w:type="character" w:customStyle="1" w:styleId="Char">
    <w:name w:val="批注框文本 Char"/>
    <w:basedOn w:val="a0"/>
    <w:link w:val="a4"/>
    <w:autoRedefine/>
    <w:qFormat/>
    <w:rPr>
      <w:rFonts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567</Words>
  <Characters>3237</Characters>
  <Application>Microsoft Office Word</Application>
  <DocSecurity>0</DocSecurity>
  <Lines>26</Lines>
  <Paragraphs>7</Paragraphs>
  <ScaleCrop>false</ScaleCrop>
  <Company>Microsoft</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王梓</cp:lastModifiedBy>
  <cp:revision>17</cp:revision>
  <dcterms:created xsi:type="dcterms:W3CDTF">2024-01-11T07:33:00Z</dcterms:created>
  <dcterms:modified xsi:type="dcterms:W3CDTF">2024-01-12T08:33:00Z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56B857F431994E1CBFE284FB584AF1F1_13</vt:lpwstr>
  </property>
</Properties>
</file>