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359" w:rsidRDefault="000D04B8">
      <w:pPr>
        <w:spacing w:before="200" w:after="1000" w:line="560" w:lineRule="exact"/>
        <w:jc w:val="center"/>
        <w:rPr>
          <w:rFonts w:ascii="宋体" w:eastAsia="宋体" w:hAnsi="宋体" w:cs="宋体"/>
          <w:sz w:val="18"/>
          <w:szCs w:val="18"/>
        </w:rPr>
      </w:pPr>
      <w:r>
        <w:rPr>
          <w:rFonts w:ascii="宋体" w:eastAsia="宋体" w:hAnsi="宋体" w:cs="宋体"/>
          <w:sz w:val="18"/>
          <w:szCs w:val="18"/>
        </w:rPr>
        <w:t>证券代码：000605                证券简称：渤海股份                公告编号：</w:t>
      </w:r>
      <w:r w:rsidR="00886ADD">
        <w:rPr>
          <w:rFonts w:ascii="宋体" w:eastAsia="宋体" w:hAnsi="宋体" w:cs="宋体" w:hint="eastAsia"/>
          <w:sz w:val="18"/>
          <w:szCs w:val="18"/>
        </w:rPr>
        <w:t>2</w:t>
      </w:r>
      <w:r w:rsidR="003D3329">
        <w:rPr>
          <w:rFonts w:ascii="宋体" w:eastAsia="宋体" w:hAnsi="宋体" w:cs="宋体"/>
          <w:sz w:val="18"/>
          <w:szCs w:val="18"/>
        </w:rPr>
        <w:t>023-054</w:t>
      </w:r>
    </w:p>
    <w:p w:rsidR="00EC6359" w:rsidRDefault="000D04B8">
      <w:pPr>
        <w:spacing w:before="200" w:after="200" w:line="400" w:lineRule="exact"/>
        <w:jc w:val="center"/>
        <w:rPr>
          <w:rFonts w:ascii="宋体" w:eastAsia="宋体" w:hAnsi="宋体" w:cs="宋体"/>
          <w:b/>
          <w:bCs/>
          <w:sz w:val="32"/>
          <w:szCs w:val="32"/>
        </w:rPr>
      </w:pPr>
      <w:r>
        <w:rPr>
          <w:rFonts w:ascii="宋体" w:eastAsia="宋体" w:hAnsi="宋体" w:cs="宋体"/>
          <w:b/>
          <w:bCs/>
          <w:sz w:val="32"/>
          <w:szCs w:val="32"/>
        </w:rPr>
        <w:t>渤海水业股份有限公司</w:t>
      </w:r>
    </w:p>
    <w:p w:rsidR="00EC6359" w:rsidRDefault="000D04B8">
      <w:pPr>
        <w:spacing w:before="200" w:after="200" w:line="400" w:lineRule="exact"/>
        <w:jc w:val="center"/>
        <w:rPr>
          <w:rFonts w:ascii="宋体" w:eastAsia="宋体" w:hAnsi="宋体" w:cs="宋体"/>
          <w:b/>
          <w:bCs/>
          <w:sz w:val="32"/>
          <w:szCs w:val="32"/>
        </w:rPr>
      </w:pPr>
      <w:r>
        <w:rPr>
          <w:rFonts w:ascii="宋体" w:eastAsia="宋体" w:hAnsi="宋体" w:cs="宋体"/>
          <w:b/>
          <w:bCs/>
          <w:sz w:val="32"/>
          <w:szCs w:val="32"/>
        </w:rPr>
        <w:t>2023年第三季度报告</w:t>
      </w:r>
    </w:p>
    <w:p w:rsidR="00EC6359" w:rsidRDefault="000D04B8">
      <w:pPr>
        <w:pBdr>
          <w:top w:val="single" w:sz="4" w:space="1" w:color="auto"/>
          <w:left w:val="single" w:sz="4" w:space="4" w:color="auto"/>
          <w:bottom w:val="single" w:sz="4" w:space="1" w:color="auto"/>
          <w:right w:val="single" w:sz="4" w:space="4" w:color="auto"/>
          <w:bar w:val="single" w:sz="4" w:color="auto"/>
        </w:pBdr>
        <w:spacing w:before="100" w:after="100" w:line="400" w:lineRule="exact"/>
        <w:ind w:firstLineChars="200" w:firstLine="360"/>
        <w:rPr>
          <w:rFonts w:ascii="宋体" w:eastAsia="宋体" w:hAnsi="宋体" w:cs="宋体"/>
          <w:sz w:val="18"/>
          <w:szCs w:val="18"/>
        </w:rPr>
      </w:pPr>
      <w:r>
        <w:rPr>
          <w:rFonts w:ascii="宋体" w:eastAsia="宋体" w:hAnsi="宋体" w:cs="宋体"/>
          <w:sz w:val="18"/>
          <w:szCs w:val="18"/>
        </w:rPr>
        <w:t>本公司及董事会全体成员保证信息披露的内容真实、准确、完整，没有虚假记载、误导性陈述或重大遗漏。</w:t>
      </w:r>
    </w:p>
    <w:p w:rsidR="00EC6359" w:rsidRDefault="000D04B8">
      <w:pPr>
        <w:spacing w:before="40" w:after="40" w:line="420" w:lineRule="exact"/>
        <w:rPr>
          <w:rFonts w:ascii="宋体" w:eastAsia="宋体" w:hAnsi="宋体" w:cs="宋体"/>
          <w:b/>
          <w:bCs/>
          <w:sz w:val="24"/>
          <w:szCs w:val="24"/>
        </w:rPr>
      </w:pPr>
      <w:r>
        <w:rPr>
          <w:rFonts w:ascii="宋体" w:eastAsia="宋体" w:hAnsi="宋体" w:cs="宋体"/>
          <w:b/>
          <w:bCs/>
          <w:sz w:val="24"/>
          <w:szCs w:val="24"/>
        </w:rPr>
        <w:t>重要内容提示：</w:t>
      </w:r>
    </w:p>
    <w:p w:rsidR="00EC6359" w:rsidRDefault="000D04B8">
      <w:pPr>
        <w:spacing w:before="100" w:after="100" w:line="400" w:lineRule="exact"/>
        <w:rPr>
          <w:rFonts w:ascii="宋体" w:eastAsia="宋体" w:hAnsi="宋体" w:cs="宋体"/>
          <w:sz w:val="18"/>
          <w:szCs w:val="18"/>
        </w:rPr>
      </w:pPr>
      <w:r>
        <w:rPr>
          <w:rFonts w:ascii="宋体" w:eastAsia="宋体" w:hAnsi="宋体" w:cs="宋体"/>
          <w:sz w:val="18"/>
          <w:szCs w:val="18"/>
        </w:rPr>
        <w:t>1.董事会、监事会及董事、监事、高级管理人员保证季度报告的真实、准确、完整，不存在虚假记载、误导性陈述或重大遗漏，并承担个别和连带的法律责任。</w:t>
      </w:r>
    </w:p>
    <w:p w:rsidR="00EC6359" w:rsidRDefault="000D04B8">
      <w:pPr>
        <w:spacing w:before="100" w:after="100" w:line="400" w:lineRule="exact"/>
        <w:rPr>
          <w:rFonts w:ascii="宋体" w:eastAsia="宋体" w:hAnsi="宋体" w:cs="宋体"/>
          <w:sz w:val="18"/>
          <w:szCs w:val="18"/>
        </w:rPr>
      </w:pPr>
      <w:r>
        <w:rPr>
          <w:rFonts w:ascii="宋体" w:eastAsia="宋体" w:hAnsi="宋体" w:cs="宋体"/>
          <w:sz w:val="18"/>
          <w:szCs w:val="18"/>
        </w:rPr>
        <w:t>2.公司负责人、主管会计工作负责人及会计机构负责人(会计主管人员)声明：保证季度报告中财务信息的真实、准确、完整。</w:t>
      </w:r>
    </w:p>
    <w:p w:rsidR="00EC6359" w:rsidRDefault="000D04B8">
      <w:pPr>
        <w:spacing w:before="100" w:after="100" w:line="400" w:lineRule="exact"/>
        <w:rPr>
          <w:rFonts w:ascii="宋体" w:eastAsia="宋体" w:hAnsi="宋体" w:cs="宋体"/>
          <w:sz w:val="18"/>
          <w:szCs w:val="18"/>
        </w:rPr>
      </w:pPr>
      <w:r>
        <w:rPr>
          <w:rFonts w:ascii="宋体" w:eastAsia="宋体" w:hAnsi="宋体" w:cs="宋体"/>
          <w:sz w:val="18"/>
          <w:szCs w:val="18"/>
        </w:rPr>
        <w:t>3.第三季度报告是否经过审计</w:t>
      </w:r>
    </w:p>
    <w:p w:rsidR="00EC6359" w:rsidRDefault="000D04B8">
      <w:pPr>
        <w:spacing w:before="100" w:after="100" w:line="40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EC6359" w:rsidRDefault="000D04B8">
      <w:r>
        <w:br w:type="page"/>
      </w:r>
    </w:p>
    <w:p w:rsidR="00EC6359" w:rsidRDefault="000D04B8">
      <w:pPr>
        <w:pStyle w:val="headingh1"/>
        <w:spacing w:before="300" w:after="300" w:line="320" w:lineRule="exact"/>
        <w:rPr>
          <w:rFonts w:ascii="宋体" w:eastAsia="宋体" w:hAnsi="宋体" w:cs="宋体"/>
          <w:b/>
          <w:bCs/>
          <w:sz w:val="24"/>
          <w:szCs w:val="24"/>
        </w:rPr>
      </w:pPr>
      <w:bookmarkStart w:id="0" w:name="_Toc988889"/>
      <w:r>
        <w:rPr>
          <w:rFonts w:ascii="宋体" w:eastAsia="宋体" w:hAnsi="宋体" w:cs="宋体"/>
          <w:b/>
          <w:bCs/>
          <w:sz w:val="24"/>
          <w:szCs w:val="24"/>
        </w:rPr>
        <w:lastRenderedPageBreak/>
        <w:t>一、主要财务数据</w:t>
      </w:r>
      <w:bookmarkEnd w:id="0"/>
    </w:p>
    <w:p w:rsidR="00EC6359" w:rsidRDefault="000D04B8">
      <w:pPr>
        <w:pStyle w:val="2"/>
        <w:spacing w:before="300" w:after="300" w:line="280" w:lineRule="exact"/>
        <w:rPr>
          <w:rFonts w:ascii="宋体" w:eastAsia="宋体" w:hAnsi="宋体" w:cs="宋体"/>
          <w:b/>
          <w:bCs/>
        </w:rPr>
      </w:pPr>
      <w:bookmarkStart w:id="1" w:name="_Toc988890"/>
      <w:r>
        <w:rPr>
          <w:rFonts w:ascii="宋体" w:eastAsia="宋体" w:hAnsi="宋体" w:cs="宋体"/>
          <w:b/>
          <w:bCs/>
        </w:rPr>
        <w:t>（一） 主要会计数据和财务指标</w:t>
      </w:r>
      <w:bookmarkEnd w:id="1"/>
    </w:p>
    <w:p w:rsidR="00EC6359" w:rsidRDefault="000D04B8">
      <w:pPr>
        <w:spacing w:before="100" w:after="100" w:line="240" w:lineRule="exact"/>
        <w:rPr>
          <w:rFonts w:ascii="宋体" w:eastAsia="宋体" w:hAnsi="宋体" w:cs="宋体"/>
          <w:sz w:val="18"/>
          <w:szCs w:val="18"/>
        </w:rPr>
      </w:pPr>
      <w:r>
        <w:rPr>
          <w:rFonts w:ascii="宋体" w:eastAsia="宋体" w:hAnsi="宋体" w:cs="宋体"/>
          <w:sz w:val="18"/>
          <w:szCs w:val="18"/>
        </w:rPr>
        <w:t>公司是否需追溯调整或重述以前年度会计数据</w:t>
      </w:r>
    </w:p>
    <w:p w:rsidR="00EC6359" w:rsidRDefault="000D04B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是 □否</w:t>
      </w:r>
    </w:p>
    <w:p w:rsidR="00EC6359" w:rsidRDefault="000D04B8">
      <w:pPr>
        <w:spacing w:before="100" w:after="100" w:line="240" w:lineRule="exact"/>
        <w:rPr>
          <w:rFonts w:ascii="宋体" w:eastAsia="宋体" w:hAnsi="宋体" w:cs="宋体"/>
          <w:sz w:val="18"/>
          <w:szCs w:val="18"/>
        </w:rPr>
      </w:pPr>
      <w:r>
        <w:rPr>
          <w:rFonts w:ascii="宋体" w:eastAsia="宋体" w:hAnsi="宋体" w:cs="宋体"/>
          <w:sz w:val="18"/>
          <w:szCs w:val="18"/>
        </w:rPr>
        <w:t>追溯调整或重述原因</w:t>
      </w:r>
    </w:p>
    <w:p w:rsidR="00EC6359" w:rsidRDefault="000D04B8">
      <w:pPr>
        <w:spacing w:before="100" w:after="100" w:line="240" w:lineRule="exact"/>
        <w:rPr>
          <w:rFonts w:ascii="宋体" w:eastAsia="宋体" w:hAnsi="宋体" w:cs="宋体"/>
          <w:sz w:val="18"/>
          <w:szCs w:val="18"/>
        </w:rPr>
      </w:pPr>
      <w:r>
        <w:rPr>
          <w:rFonts w:ascii="宋体" w:eastAsia="宋体" w:hAnsi="宋体" w:cs="宋体"/>
          <w:sz w:val="18"/>
          <w:szCs w:val="18"/>
        </w:rPr>
        <w:t>会计政策变更</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71"/>
        <w:gridCol w:w="1071"/>
        <w:gridCol w:w="1071"/>
        <w:gridCol w:w="1071"/>
        <w:gridCol w:w="1071"/>
        <w:gridCol w:w="1071"/>
        <w:gridCol w:w="1071"/>
        <w:gridCol w:w="1071"/>
        <w:gridCol w:w="1071"/>
      </w:tblGrid>
      <w:tr w:rsidR="00EC6359">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本报告期</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上年同期</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本报告期比上年同期增减</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年初至报告期末</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上年同期</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年初至报告期末比上年同期增减</w:t>
            </w:r>
          </w:p>
        </w:tc>
      </w:tr>
      <w:tr w:rsidR="00EC6359">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调整前</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调整后</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调整后</w:t>
            </w:r>
          </w:p>
        </w:tc>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调整前</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调整后</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调整后</w:t>
            </w:r>
          </w:p>
        </w:tc>
      </w:tr>
      <w:tr w:rsidR="00EC6359">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营业收入（元）</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305,859,038.28</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297,861,033.55</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297,861,033.55</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2.69%</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1,190,244,484.01</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1,172,117,903.60</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1,172,117,903.60</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1.55%</w:t>
            </w:r>
          </w:p>
        </w:tc>
      </w:tr>
      <w:tr w:rsidR="00EC6359">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归属于上市公司股东的净利润（元）</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-1,980,257.81</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-5,214,935.48</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-5,154,466.49</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61.58%</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10,033,662.80</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10,488,468.19</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10,857,683.74</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-7.59%</w:t>
            </w:r>
          </w:p>
        </w:tc>
      </w:tr>
      <w:tr w:rsidR="00EC6359">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归属于上市公司股东的扣除非经常性损益的净利润（元）</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-6,520,274.74</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-10,526,794.41</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-10,466,325.42</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37.70%</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1,731,053.28</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118,918.95</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488,134.50</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254.63%</w:t>
            </w:r>
          </w:p>
        </w:tc>
      </w:tr>
      <w:tr w:rsidR="00EC6359">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经营活动产生的现金流量净额（元）</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23,802,514.94</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74,677,487.19</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74,677,487.19</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-68.13%</w:t>
            </w:r>
          </w:p>
        </w:tc>
      </w:tr>
      <w:tr w:rsidR="00EC6359">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基本每股收益（元/股）</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-0.0056</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-0.0148</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-0.0146</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61.64%</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0.0285</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0.0297</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0.0308</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-7.47%</w:t>
            </w:r>
          </w:p>
        </w:tc>
      </w:tr>
      <w:tr w:rsidR="00EC6359">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稀释每股收益（元/股）</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-0.0056</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-0.0148</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-0.0146</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61.64%</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0.0285</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0.0297</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0.0308</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-7.47%</w:t>
            </w:r>
          </w:p>
        </w:tc>
      </w:tr>
      <w:tr w:rsidR="00EC6359">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加权平均净资产收益率</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-0.09%</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-0.25%</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-0.25%</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0.16%</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0.48%</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0.50%</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0.52%</w:t>
            </w:r>
          </w:p>
        </w:tc>
        <w:tc>
          <w:tcPr>
            <w:tcW w:w="1071"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-0.04%</w:t>
            </w:r>
          </w:p>
        </w:tc>
      </w:tr>
      <w:tr w:rsidR="00EC6359">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2142" w:type="dxa"/>
            <w:gridSpan w:val="2"/>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本报告期末</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上年度末</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本报告期末比上年度末增减</w:t>
            </w:r>
          </w:p>
        </w:tc>
      </w:tr>
      <w:tr w:rsidR="00EC6359">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2142" w:type="dxa"/>
            <w:gridSpan w:val="2"/>
            <w:vMerge/>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调整前</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调整后</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调整后</w:t>
            </w:r>
          </w:p>
        </w:tc>
      </w:tr>
      <w:tr w:rsidR="00EC6359">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总资产（元）</w:t>
            </w:r>
          </w:p>
        </w:tc>
        <w:tc>
          <w:tcPr>
            <w:tcW w:w="2142" w:type="dxa"/>
            <w:gridSpan w:val="2"/>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7,847,339,816.44</w:t>
            </w:r>
          </w:p>
        </w:tc>
        <w:tc>
          <w:tcPr>
            <w:tcW w:w="2142" w:type="dxa"/>
            <w:gridSpan w:val="2"/>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8,077,794,714.94</w:t>
            </w:r>
          </w:p>
        </w:tc>
        <w:tc>
          <w:tcPr>
            <w:tcW w:w="2142" w:type="dxa"/>
            <w:gridSpan w:val="2"/>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8,105,133,543.02</w:t>
            </w:r>
          </w:p>
        </w:tc>
        <w:tc>
          <w:tcPr>
            <w:tcW w:w="2142" w:type="dxa"/>
            <w:gridSpan w:val="2"/>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-3.18%</w:t>
            </w:r>
          </w:p>
        </w:tc>
      </w:tr>
      <w:tr w:rsidR="00EC6359">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归属于上市公司股东的所有者权益（元）</w:t>
            </w:r>
          </w:p>
        </w:tc>
        <w:tc>
          <w:tcPr>
            <w:tcW w:w="2142" w:type="dxa"/>
            <w:gridSpan w:val="2"/>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2,105,212,284.89</w:t>
            </w:r>
          </w:p>
        </w:tc>
        <w:tc>
          <w:tcPr>
            <w:tcW w:w="2142" w:type="dxa"/>
            <w:gridSpan w:val="2"/>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2,102,642,336.38</w:t>
            </w:r>
          </w:p>
        </w:tc>
        <w:tc>
          <w:tcPr>
            <w:tcW w:w="2142" w:type="dxa"/>
            <w:gridSpan w:val="2"/>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2,103,321,147.35</w:t>
            </w:r>
          </w:p>
        </w:tc>
        <w:tc>
          <w:tcPr>
            <w:tcW w:w="2142" w:type="dxa"/>
            <w:gridSpan w:val="2"/>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0.09%</w:t>
            </w:r>
          </w:p>
        </w:tc>
      </w:tr>
    </w:tbl>
    <w:p w:rsidR="00EC6359" w:rsidRDefault="000D04B8">
      <w:pPr>
        <w:spacing w:before="100" w:after="100" w:line="240" w:lineRule="exact"/>
        <w:rPr>
          <w:rFonts w:ascii="宋体" w:eastAsia="宋体" w:hAnsi="宋体" w:cs="宋体"/>
          <w:sz w:val="18"/>
          <w:szCs w:val="18"/>
        </w:rPr>
      </w:pPr>
      <w:r>
        <w:rPr>
          <w:rFonts w:ascii="宋体" w:eastAsia="宋体" w:hAnsi="宋体" w:cs="宋体"/>
          <w:sz w:val="18"/>
          <w:szCs w:val="18"/>
        </w:rPr>
        <w:t>会计政策变更的原因及会计差错更正的情况</w:t>
      </w:r>
    </w:p>
    <w:p w:rsidR="000748D8" w:rsidRDefault="000D04B8">
      <w:pPr>
        <w:pStyle w:val="a3"/>
        <w:spacing w:before="40" w:beforeAutospacing="0" w:after="40" w:afterAutospacing="0" w:line="240" w:lineRule="atLeast"/>
        <w:divId w:val="208038358"/>
        <w:rPr>
          <w:sz w:val="18"/>
          <w:szCs w:val="18"/>
        </w:rPr>
      </w:pPr>
      <w:r>
        <w:rPr>
          <w:rFonts w:hint="eastAsia"/>
          <w:sz w:val="18"/>
          <w:szCs w:val="18"/>
        </w:rPr>
        <w:t>财政部于2022年11月30日发布实施《企业会计准则解释第16号》，其中“关于单项交易产生的资产和负债相关的递延所得税不适用初始确认豁免的会计处理”规定，自2023年1月1日起施行。对于在首次执行该规定的财务报表列报最早期间的期初因适用该规定的单项交易而确认的租赁负债和使用权资产，以及确认的弃置义务相关预计负债和对应的相</w:t>
      </w:r>
      <w:r>
        <w:rPr>
          <w:rFonts w:hint="eastAsia"/>
          <w:sz w:val="18"/>
          <w:szCs w:val="18"/>
        </w:rPr>
        <w:lastRenderedPageBreak/>
        <w:t>关资产，产生应纳税暂时性差异和可抵扣暂时性差异的，本公司按照该规定和《企业会计准则第18号——所得税》的规定，将累计影响数调整财务报表列报最早期间的期初留存收益及其他相关财务报表项目。</w:t>
      </w:r>
    </w:p>
    <w:p w:rsidR="00EC6359" w:rsidRDefault="000D04B8">
      <w:pPr>
        <w:pStyle w:val="2"/>
        <w:spacing w:before="300" w:after="300" w:line="280" w:lineRule="exact"/>
        <w:rPr>
          <w:rFonts w:ascii="宋体" w:eastAsia="宋体" w:hAnsi="宋体" w:cs="宋体"/>
          <w:b/>
          <w:bCs/>
        </w:rPr>
      </w:pPr>
      <w:bookmarkStart w:id="2" w:name="_Toc988891"/>
      <w:r>
        <w:rPr>
          <w:rFonts w:ascii="宋体" w:eastAsia="宋体" w:hAnsi="宋体" w:cs="宋体"/>
          <w:b/>
          <w:bCs/>
        </w:rPr>
        <w:t>（二） 非经常性损益项目和金额</w:t>
      </w:r>
      <w:bookmarkEnd w:id="2"/>
    </w:p>
    <w:p w:rsidR="00EC6359" w:rsidRDefault="000D04B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2409"/>
        <w:gridCol w:w="2410"/>
        <w:gridCol w:w="2410"/>
        <w:gridCol w:w="2410"/>
      </w:tblGrid>
      <w:tr w:rsidR="00EC6359">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本报告期金额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年初至报告期期末金额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说明</w:t>
            </w:r>
          </w:p>
        </w:tc>
      </w:tr>
      <w:tr w:rsidR="00EC6359">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非流动资产处置损益（包括已计提资产减值准备的冲销部分）</w:t>
            </w:r>
          </w:p>
        </w:tc>
        <w:tc>
          <w:tcPr>
            <w:tcW w:w="2410"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-59,547.80</w:t>
            </w:r>
          </w:p>
        </w:tc>
        <w:tc>
          <w:tcPr>
            <w:tcW w:w="2410"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1,052,742.03</w:t>
            </w:r>
          </w:p>
        </w:tc>
        <w:tc>
          <w:tcPr>
            <w:tcW w:w="2410"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rPr>
                <w:rFonts w:ascii="宋体" w:eastAsia="宋体" w:hAnsi="宋体" w:cs="宋体"/>
                <w:sz w:val="18"/>
                <w:szCs w:val="18"/>
              </w:rPr>
            </w:pPr>
          </w:p>
        </w:tc>
      </w:tr>
      <w:tr w:rsidR="00EC6359">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计入当期损益的政府补助（与公司正常经营业务密切相关，符合国家政策规定、按照一定标准定额或定量持续享受的政府补助除外）</w:t>
            </w:r>
          </w:p>
        </w:tc>
        <w:tc>
          <w:tcPr>
            <w:tcW w:w="2410"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3,418,546.05</w:t>
            </w:r>
          </w:p>
        </w:tc>
        <w:tc>
          <w:tcPr>
            <w:tcW w:w="2410"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8,464,003.73</w:t>
            </w:r>
          </w:p>
        </w:tc>
        <w:tc>
          <w:tcPr>
            <w:tcW w:w="2410"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rPr>
                <w:rFonts w:ascii="宋体" w:eastAsia="宋体" w:hAnsi="宋体" w:cs="宋体"/>
                <w:sz w:val="18"/>
                <w:szCs w:val="18"/>
              </w:rPr>
            </w:pPr>
          </w:p>
        </w:tc>
      </w:tr>
      <w:tr w:rsidR="00EC6359">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计入当期损益的对非金融企业收取的资金占用费</w:t>
            </w:r>
          </w:p>
        </w:tc>
        <w:tc>
          <w:tcPr>
            <w:tcW w:w="2410"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3,365,178.05</w:t>
            </w:r>
          </w:p>
        </w:tc>
        <w:tc>
          <w:tcPr>
            <w:tcW w:w="2410"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9,620,019.88</w:t>
            </w:r>
          </w:p>
        </w:tc>
        <w:tc>
          <w:tcPr>
            <w:tcW w:w="2410"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rPr>
                <w:rFonts w:ascii="宋体" w:eastAsia="宋体" w:hAnsi="宋体" w:cs="宋体"/>
                <w:sz w:val="18"/>
                <w:szCs w:val="18"/>
              </w:rPr>
            </w:pPr>
          </w:p>
        </w:tc>
      </w:tr>
      <w:tr w:rsidR="00EC6359">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除上述各项之外的其他营业外收入和支出</w:t>
            </w:r>
          </w:p>
        </w:tc>
        <w:tc>
          <w:tcPr>
            <w:tcW w:w="2410"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-916,327.48</w:t>
            </w:r>
          </w:p>
        </w:tc>
        <w:tc>
          <w:tcPr>
            <w:tcW w:w="2410"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-1,421,200.05</w:t>
            </w:r>
          </w:p>
        </w:tc>
        <w:tc>
          <w:tcPr>
            <w:tcW w:w="2410"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rPr>
                <w:rFonts w:ascii="宋体" w:eastAsia="宋体" w:hAnsi="宋体" w:cs="宋体"/>
                <w:sz w:val="18"/>
                <w:szCs w:val="18"/>
              </w:rPr>
            </w:pPr>
          </w:p>
        </w:tc>
      </w:tr>
      <w:tr w:rsidR="00EC6359">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其他符合非经常性损益定义的损益项目</w:t>
            </w:r>
          </w:p>
        </w:tc>
        <w:tc>
          <w:tcPr>
            <w:tcW w:w="2410"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-5,738,889.63</w:t>
            </w:r>
          </w:p>
        </w:tc>
        <w:tc>
          <w:tcPr>
            <w:tcW w:w="2410"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rPr>
                <w:rFonts w:ascii="宋体" w:eastAsia="宋体" w:hAnsi="宋体" w:cs="宋体"/>
                <w:sz w:val="18"/>
                <w:szCs w:val="18"/>
              </w:rPr>
            </w:pPr>
          </w:p>
        </w:tc>
      </w:tr>
      <w:tr w:rsidR="00EC6359">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减：所得税影响额</w:t>
            </w:r>
          </w:p>
        </w:tc>
        <w:tc>
          <w:tcPr>
            <w:tcW w:w="2410"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1,061,613.85</w:t>
            </w:r>
          </w:p>
        </w:tc>
        <w:tc>
          <w:tcPr>
            <w:tcW w:w="2410"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2,860,908.24</w:t>
            </w:r>
          </w:p>
        </w:tc>
        <w:tc>
          <w:tcPr>
            <w:tcW w:w="2410"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rPr>
                <w:rFonts w:ascii="宋体" w:eastAsia="宋体" w:hAnsi="宋体" w:cs="宋体"/>
                <w:sz w:val="18"/>
                <w:szCs w:val="18"/>
              </w:rPr>
            </w:pPr>
          </w:p>
        </w:tc>
      </w:tr>
      <w:tr w:rsidR="00EC6359">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200" w:firstLine="360"/>
              <w:rPr>
                <w:rFonts w:ascii="宋体" w:eastAsia="宋体" w:hAnsi="宋体" w:cs="宋体"/>
                <w:sz w:val="18"/>
                <w:szCs w:val="18"/>
              </w:rPr>
            </w:pPr>
            <w:r>
              <w:rPr>
                <w:rFonts w:ascii="宋体" w:eastAsia="宋体" w:hAnsi="宋体" w:cs="宋体"/>
                <w:sz w:val="18"/>
                <w:szCs w:val="18"/>
              </w:rPr>
              <w:t>少数股东权益影响额（税后）</w:t>
            </w:r>
          </w:p>
        </w:tc>
        <w:tc>
          <w:tcPr>
            <w:tcW w:w="2410"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206,218.04</w:t>
            </w:r>
          </w:p>
        </w:tc>
        <w:tc>
          <w:tcPr>
            <w:tcW w:w="2410"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813,158.20</w:t>
            </w:r>
          </w:p>
        </w:tc>
        <w:tc>
          <w:tcPr>
            <w:tcW w:w="2410"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rPr>
                <w:rFonts w:ascii="宋体" w:eastAsia="宋体" w:hAnsi="宋体" w:cs="宋体"/>
                <w:sz w:val="18"/>
                <w:szCs w:val="18"/>
              </w:rPr>
            </w:pPr>
          </w:p>
        </w:tc>
      </w:tr>
      <w:tr w:rsidR="00EC6359">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4,540,016.93</w:t>
            </w:r>
          </w:p>
        </w:tc>
        <w:tc>
          <w:tcPr>
            <w:tcW w:w="2410"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8,302,609.52</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jc w:val="center"/>
              <w:rPr>
                <w:rFonts w:ascii="宋体" w:eastAsia="宋体" w:hAnsi="宋体" w:cs="宋体"/>
                <w:sz w:val="18"/>
                <w:szCs w:val="18"/>
              </w:rPr>
            </w:pPr>
            <w:r>
              <w:rPr>
                <w:rFonts w:ascii="宋体" w:eastAsia="宋体" w:hAnsi="宋体" w:cs="宋体"/>
                <w:sz w:val="18"/>
                <w:szCs w:val="18"/>
              </w:rPr>
              <w:t>--</w:t>
            </w:r>
          </w:p>
        </w:tc>
      </w:tr>
    </w:tbl>
    <w:p w:rsidR="00EC6359" w:rsidRDefault="000D04B8">
      <w:pPr>
        <w:spacing w:line="240" w:lineRule="exact"/>
        <w:rPr>
          <w:rFonts w:ascii="宋体" w:eastAsia="宋体" w:hAnsi="宋体" w:cs="宋体"/>
          <w:sz w:val="18"/>
          <w:szCs w:val="18"/>
        </w:rPr>
      </w:pPr>
      <w:r>
        <w:rPr>
          <w:rFonts w:ascii="宋体" w:eastAsia="宋体" w:hAnsi="宋体" w:cs="宋体"/>
          <w:sz w:val="18"/>
          <w:szCs w:val="18"/>
        </w:rPr>
        <w:t>其他符合非经常性损益定义的损益项目的具体情况：</w:t>
      </w:r>
    </w:p>
    <w:p w:rsidR="00EC6359" w:rsidRDefault="000D04B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EC6359" w:rsidRDefault="000D04B8">
      <w:pPr>
        <w:spacing w:before="40" w:after="40" w:line="240" w:lineRule="exact"/>
        <w:rPr>
          <w:rFonts w:ascii="宋体" w:eastAsia="宋体" w:hAnsi="宋体" w:cs="宋体"/>
          <w:sz w:val="18"/>
          <w:szCs w:val="18"/>
        </w:rPr>
      </w:pPr>
      <w:r>
        <w:rPr>
          <w:rFonts w:ascii="宋体" w:eastAsia="宋体" w:hAnsi="宋体" w:cs="宋体"/>
          <w:sz w:val="18"/>
          <w:szCs w:val="18"/>
        </w:rPr>
        <w:t>公司不存在其他符合非经常性损益定义的损益项目的具体情况。</w:t>
      </w:r>
    </w:p>
    <w:p w:rsidR="00EC6359" w:rsidRDefault="000D04B8">
      <w:pPr>
        <w:spacing w:before="40" w:after="40" w:line="240" w:lineRule="exact"/>
        <w:rPr>
          <w:rFonts w:ascii="宋体" w:eastAsia="宋体" w:hAnsi="宋体" w:cs="宋体"/>
          <w:sz w:val="18"/>
          <w:szCs w:val="18"/>
        </w:rPr>
      </w:pPr>
      <w:r>
        <w:rPr>
          <w:rFonts w:ascii="宋体" w:eastAsia="宋体" w:hAnsi="宋体" w:cs="宋体"/>
          <w:sz w:val="18"/>
          <w:szCs w:val="18"/>
        </w:rPr>
        <w:t>将《公开发行证券的公司信息披露解释性公告第1号——非经常性损益》中列举的非经常性损益项目界定为经常性损益项目的情况说明</w:t>
      </w:r>
    </w:p>
    <w:p w:rsidR="00EC6359" w:rsidRDefault="000D04B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EC6359" w:rsidRDefault="000D04B8">
      <w:pPr>
        <w:spacing w:before="100" w:after="100" w:line="240" w:lineRule="exact"/>
        <w:rPr>
          <w:rFonts w:ascii="宋体" w:eastAsia="宋体" w:hAnsi="宋体" w:cs="宋体"/>
          <w:sz w:val="18"/>
          <w:szCs w:val="18"/>
        </w:rPr>
      </w:pPr>
      <w:r>
        <w:rPr>
          <w:rFonts w:ascii="宋体" w:eastAsia="宋体" w:hAnsi="宋体" w:cs="宋体"/>
          <w:sz w:val="18"/>
          <w:szCs w:val="18"/>
        </w:rPr>
        <w:t>公司不存在将《公开发行证券的公司信息披露解释性公告第1号——非经常性损益》中列举的非经常性损益项目界定为经常性损益的项目的情形。</w:t>
      </w:r>
    </w:p>
    <w:p w:rsidR="00EC6359" w:rsidRDefault="000D04B8">
      <w:pPr>
        <w:pStyle w:val="2"/>
        <w:spacing w:before="300" w:after="300" w:line="280" w:lineRule="exact"/>
        <w:rPr>
          <w:rFonts w:ascii="宋体" w:eastAsia="宋体" w:hAnsi="宋体" w:cs="宋体"/>
          <w:b/>
          <w:bCs/>
        </w:rPr>
      </w:pPr>
      <w:bookmarkStart w:id="3" w:name="_Toc988892"/>
      <w:r>
        <w:rPr>
          <w:rFonts w:ascii="宋体" w:eastAsia="宋体" w:hAnsi="宋体" w:cs="宋体"/>
          <w:b/>
          <w:bCs/>
        </w:rPr>
        <w:t>（三） 主要会计数据和财务指标发生变动的情况及原因</w:t>
      </w:r>
      <w:bookmarkEnd w:id="3"/>
    </w:p>
    <w:p w:rsidR="00EC6359" w:rsidRDefault="000D04B8">
      <w:pPr>
        <w:spacing w:before="100" w:after="10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tbl>
      <w:tblPr>
        <w:tblW w:w="9781" w:type="dxa"/>
        <w:tblCellMar>
          <w:left w:w="0" w:type="dxa"/>
          <w:right w:w="0" w:type="dxa"/>
        </w:tblCellMar>
        <w:tblLook w:val="04A0" w:firstRow="1" w:lastRow="0" w:firstColumn="1" w:lastColumn="0" w:noHBand="0" w:noVBand="1"/>
      </w:tblPr>
      <w:tblGrid>
        <w:gridCol w:w="2235"/>
        <w:gridCol w:w="1701"/>
        <w:gridCol w:w="1701"/>
        <w:gridCol w:w="992"/>
        <w:gridCol w:w="3152"/>
      </w:tblGrid>
      <w:tr w:rsidR="000748D8">
        <w:trPr>
          <w:divId w:val="463503008"/>
          <w:trHeight w:val="276"/>
        </w:trPr>
        <w:tc>
          <w:tcPr>
            <w:tcW w:w="9781"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48D8" w:rsidRDefault="000D04B8">
            <w:pPr>
              <w:pStyle w:val="a3"/>
              <w:spacing w:before="0" w:beforeAutospacing="0" w:after="0" w:afterAutospacing="0"/>
              <w:jc w:val="center"/>
              <w:rPr>
                <w:rFonts w:ascii="Arial Narrow" w:hAnsi="Arial Narrow"/>
                <w:sz w:val="21"/>
                <w:szCs w:val="21"/>
              </w:rPr>
            </w:pPr>
            <w:r>
              <w:rPr>
                <w:rStyle w:val="a4"/>
                <w:rFonts w:hint="eastAsia"/>
                <w:sz w:val="20"/>
                <w:szCs w:val="20"/>
              </w:rPr>
              <w:t>合并资产负债表</w:t>
            </w:r>
          </w:p>
        </w:tc>
      </w:tr>
      <w:tr w:rsidR="000748D8" w:rsidTr="00140B12">
        <w:trPr>
          <w:divId w:val="463503008"/>
          <w:trHeight w:val="264"/>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48D8" w:rsidRDefault="000D04B8">
            <w:pPr>
              <w:pStyle w:val="a3"/>
              <w:spacing w:before="0" w:beforeAutospacing="0" w:after="0" w:afterAutospacing="0"/>
              <w:jc w:val="center"/>
              <w:rPr>
                <w:rFonts w:ascii="Arial Narrow" w:hAnsi="Arial Narrow"/>
                <w:sz w:val="21"/>
                <w:szCs w:val="21"/>
              </w:rPr>
            </w:pPr>
            <w:r>
              <w:rPr>
                <w:rStyle w:val="a4"/>
                <w:rFonts w:hint="eastAsia"/>
                <w:sz w:val="18"/>
                <w:szCs w:val="18"/>
              </w:rPr>
              <w:t>科目</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Default="000D04B8">
            <w:pPr>
              <w:pStyle w:val="a3"/>
              <w:spacing w:before="0" w:beforeAutospacing="0" w:after="0" w:afterAutospacing="0"/>
              <w:jc w:val="center"/>
              <w:rPr>
                <w:rFonts w:ascii="Arial Narrow" w:hAnsi="Arial Narrow"/>
                <w:sz w:val="21"/>
                <w:szCs w:val="21"/>
              </w:rPr>
            </w:pPr>
            <w:r>
              <w:rPr>
                <w:rStyle w:val="a4"/>
                <w:rFonts w:hint="eastAsia"/>
                <w:sz w:val="18"/>
                <w:szCs w:val="18"/>
              </w:rPr>
              <w:t>本年数</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Default="000D04B8">
            <w:pPr>
              <w:pStyle w:val="a3"/>
              <w:spacing w:before="0" w:beforeAutospacing="0" w:after="0" w:afterAutospacing="0"/>
              <w:jc w:val="center"/>
              <w:rPr>
                <w:rFonts w:ascii="Arial Narrow" w:hAnsi="Arial Narrow"/>
                <w:sz w:val="21"/>
                <w:szCs w:val="21"/>
              </w:rPr>
            </w:pPr>
            <w:r>
              <w:rPr>
                <w:rStyle w:val="a4"/>
                <w:rFonts w:hint="eastAsia"/>
                <w:sz w:val="18"/>
                <w:szCs w:val="18"/>
              </w:rPr>
              <w:t>上年数</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Default="000D04B8">
            <w:pPr>
              <w:pStyle w:val="a3"/>
              <w:spacing w:before="0" w:beforeAutospacing="0" w:after="0" w:afterAutospacing="0"/>
              <w:jc w:val="center"/>
              <w:rPr>
                <w:rFonts w:ascii="Arial Narrow" w:hAnsi="Arial Narrow"/>
                <w:sz w:val="21"/>
                <w:szCs w:val="21"/>
              </w:rPr>
            </w:pPr>
            <w:r>
              <w:rPr>
                <w:rStyle w:val="a4"/>
                <w:rFonts w:hint="eastAsia"/>
                <w:sz w:val="18"/>
                <w:szCs w:val="18"/>
              </w:rPr>
              <w:t>变动率</w:t>
            </w:r>
          </w:p>
        </w:tc>
        <w:tc>
          <w:tcPr>
            <w:tcW w:w="31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48D8" w:rsidRDefault="000D04B8">
            <w:pPr>
              <w:pStyle w:val="a3"/>
              <w:spacing w:before="0" w:beforeAutospacing="0" w:after="0" w:afterAutospacing="0"/>
              <w:jc w:val="center"/>
              <w:rPr>
                <w:rFonts w:ascii="Arial Narrow" w:hAnsi="Arial Narrow"/>
                <w:sz w:val="21"/>
                <w:szCs w:val="21"/>
              </w:rPr>
            </w:pPr>
            <w:r>
              <w:rPr>
                <w:rStyle w:val="a4"/>
                <w:rFonts w:hint="eastAsia"/>
                <w:sz w:val="18"/>
                <w:szCs w:val="18"/>
              </w:rPr>
              <w:t>变动原因</w:t>
            </w:r>
          </w:p>
        </w:tc>
      </w:tr>
      <w:tr w:rsidR="000748D8" w:rsidRPr="00C53B85" w:rsidTr="00140B12">
        <w:trPr>
          <w:divId w:val="463503008"/>
          <w:trHeight w:val="264"/>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rPr>
                <w:rFonts w:asciiTheme="minorEastAsia" w:eastAsiaTheme="minorEastAsia" w:hAnsiTheme="minorEastAsia"/>
                <w:sz w:val="21"/>
                <w:szCs w:val="21"/>
              </w:rPr>
            </w:pPr>
            <w:r w:rsidRPr="00C53B85">
              <w:rPr>
                <w:rFonts w:asciiTheme="minorEastAsia" w:eastAsiaTheme="minorEastAsia" w:hAnsiTheme="minorEastAsia" w:hint="eastAsia"/>
                <w:sz w:val="18"/>
                <w:szCs w:val="18"/>
              </w:rPr>
              <w:t>应收票据</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7,020,550.96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53,875,672.67</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-86.97%</w:t>
            </w:r>
          </w:p>
        </w:tc>
        <w:tc>
          <w:tcPr>
            <w:tcW w:w="31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48D8" w:rsidRPr="00C53B85" w:rsidRDefault="000D04B8">
            <w:pPr>
              <w:pStyle w:val="a3"/>
              <w:spacing w:before="0" w:beforeAutospacing="0" w:after="0" w:afterAutospacing="0"/>
              <w:rPr>
                <w:rFonts w:asciiTheme="minorEastAsia" w:eastAsiaTheme="minorEastAsia" w:hAnsiTheme="minorEastAsia"/>
                <w:sz w:val="21"/>
                <w:szCs w:val="21"/>
              </w:rPr>
            </w:pPr>
            <w:r w:rsidRPr="00C53B85">
              <w:rPr>
                <w:rFonts w:asciiTheme="minorEastAsia" w:eastAsiaTheme="minorEastAsia" w:hAnsiTheme="minorEastAsia" w:hint="eastAsia"/>
                <w:sz w:val="18"/>
                <w:szCs w:val="18"/>
              </w:rPr>
              <w:t>主要系子公司应收票据减少所致</w:t>
            </w:r>
          </w:p>
        </w:tc>
      </w:tr>
      <w:tr w:rsidR="000748D8" w:rsidRPr="00C53B85" w:rsidTr="00140B12">
        <w:trPr>
          <w:divId w:val="463503008"/>
          <w:trHeight w:val="264"/>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rPr>
                <w:rFonts w:asciiTheme="minorEastAsia" w:eastAsiaTheme="minorEastAsia" w:hAnsiTheme="minorEastAsia"/>
                <w:sz w:val="21"/>
                <w:szCs w:val="21"/>
              </w:rPr>
            </w:pPr>
            <w:r w:rsidRPr="00C53B85">
              <w:rPr>
                <w:rFonts w:asciiTheme="minorEastAsia" w:eastAsiaTheme="minorEastAsia" w:hAnsiTheme="minorEastAsia" w:hint="eastAsia"/>
                <w:sz w:val="18"/>
                <w:szCs w:val="18"/>
              </w:rPr>
              <w:t>预付款项</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54,084,729.76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144,197,124.84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-62.49%</w:t>
            </w:r>
          </w:p>
        </w:tc>
        <w:tc>
          <w:tcPr>
            <w:tcW w:w="31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48D8" w:rsidRPr="00C53B85" w:rsidRDefault="000D04B8">
            <w:pPr>
              <w:pStyle w:val="a3"/>
              <w:spacing w:before="0" w:beforeAutospacing="0" w:after="0" w:afterAutospacing="0"/>
              <w:rPr>
                <w:rFonts w:asciiTheme="minorEastAsia" w:eastAsiaTheme="minorEastAsia" w:hAnsiTheme="minorEastAsia"/>
                <w:sz w:val="21"/>
                <w:szCs w:val="21"/>
              </w:rPr>
            </w:pPr>
            <w:r w:rsidRPr="00C53B85">
              <w:rPr>
                <w:rFonts w:asciiTheme="minorEastAsia" w:eastAsiaTheme="minorEastAsia" w:hAnsiTheme="minorEastAsia" w:hint="eastAsia"/>
                <w:sz w:val="18"/>
                <w:szCs w:val="18"/>
              </w:rPr>
              <w:t>主要系子公司预付款项结转成本所致</w:t>
            </w:r>
          </w:p>
        </w:tc>
      </w:tr>
      <w:tr w:rsidR="000748D8" w:rsidRPr="00C53B85" w:rsidTr="00140B12">
        <w:trPr>
          <w:divId w:val="463503008"/>
          <w:trHeight w:val="264"/>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rPr>
                <w:rFonts w:asciiTheme="minorEastAsia" w:eastAsiaTheme="minorEastAsia" w:hAnsiTheme="minorEastAsia"/>
                <w:sz w:val="21"/>
                <w:szCs w:val="21"/>
              </w:rPr>
            </w:pPr>
            <w:r w:rsidRPr="00C53B85">
              <w:rPr>
                <w:rFonts w:asciiTheme="minorEastAsia" w:eastAsiaTheme="minorEastAsia" w:hAnsiTheme="minorEastAsia" w:hint="eastAsia"/>
                <w:sz w:val="18"/>
                <w:szCs w:val="18"/>
              </w:rPr>
              <w:t>其他应收款</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33,693,587.93</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17,712,816.64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90.22%</w:t>
            </w:r>
          </w:p>
        </w:tc>
        <w:tc>
          <w:tcPr>
            <w:tcW w:w="31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48D8" w:rsidRPr="00C53B85" w:rsidRDefault="000D04B8">
            <w:pPr>
              <w:pStyle w:val="a3"/>
              <w:spacing w:before="0" w:beforeAutospacing="0" w:after="0" w:afterAutospacing="0"/>
              <w:rPr>
                <w:rFonts w:asciiTheme="minorEastAsia" w:eastAsiaTheme="minorEastAsia" w:hAnsiTheme="minorEastAsia"/>
                <w:sz w:val="21"/>
                <w:szCs w:val="21"/>
              </w:rPr>
            </w:pPr>
            <w:r w:rsidRPr="00C53B85">
              <w:rPr>
                <w:rFonts w:asciiTheme="minorEastAsia" w:eastAsiaTheme="minorEastAsia" w:hAnsiTheme="minorEastAsia" w:hint="eastAsia"/>
                <w:sz w:val="18"/>
                <w:szCs w:val="18"/>
              </w:rPr>
              <w:t>主要系子公司应收保证金增加所致</w:t>
            </w:r>
          </w:p>
        </w:tc>
      </w:tr>
      <w:tr w:rsidR="000748D8" w:rsidRPr="00C53B85" w:rsidTr="00140B12">
        <w:trPr>
          <w:divId w:val="463503008"/>
          <w:trHeight w:val="264"/>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rPr>
                <w:rFonts w:asciiTheme="minorEastAsia" w:eastAsiaTheme="minorEastAsia" w:hAnsiTheme="minorEastAsia"/>
                <w:sz w:val="21"/>
                <w:szCs w:val="21"/>
              </w:rPr>
            </w:pPr>
            <w:r w:rsidRPr="00C53B85">
              <w:rPr>
                <w:rFonts w:asciiTheme="minorEastAsia" w:eastAsiaTheme="minorEastAsia" w:hAnsiTheme="minorEastAsia" w:hint="eastAsia"/>
                <w:sz w:val="18"/>
                <w:szCs w:val="18"/>
              </w:rPr>
              <w:t>应付票据</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220,000,000.00</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365,994,406.25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-39.89%</w:t>
            </w:r>
          </w:p>
        </w:tc>
        <w:tc>
          <w:tcPr>
            <w:tcW w:w="31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48D8" w:rsidRPr="00C53B85" w:rsidRDefault="000D04B8">
            <w:pPr>
              <w:pStyle w:val="a3"/>
              <w:spacing w:before="0" w:beforeAutospacing="0" w:after="0" w:afterAutospacing="0"/>
              <w:rPr>
                <w:rFonts w:asciiTheme="minorEastAsia" w:eastAsiaTheme="minorEastAsia" w:hAnsiTheme="minorEastAsia"/>
                <w:sz w:val="21"/>
                <w:szCs w:val="21"/>
              </w:rPr>
            </w:pPr>
            <w:r w:rsidRPr="00C53B85">
              <w:rPr>
                <w:rFonts w:asciiTheme="minorEastAsia" w:eastAsiaTheme="minorEastAsia" w:hAnsiTheme="minorEastAsia" w:hint="eastAsia"/>
                <w:sz w:val="18"/>
                <w:szCs w:val="18"/>
              </w:rPr>
              <w:t>主要系应付票据到期还款所致</w:t>
            </w:r>
          </w:p>
        </w:tc>
      </w:tr>
      <w:tr w:rsidR="000748D8" w:rsidRPr="00C53B85" w:rsidTr="00140B12">
        <w:trPr>
          <w:divId w:val="463503008"/>
          <w:trHeight w:val="264"/>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rPr>
                <w:rFonts w:asciiTheme="minorEastAsia" w:eastAsiaTheme="minorEastAsia" w:hAnsiTheme="minorEastAsia"/>
                <w:sz w:val="21"/>
                <w:szCs w:val="21"/>
              </w:rPr>
            </w:pPr>
            <w:r w:rsidRPr="00C53B85">
              <w:rPr>
                <w:rFonts w:asciiTheme="minorEastAsia" w:eastAsiaTheme="minorEastAsia" w:hAnsiTheme="minorEastAsia" w:hint="eastAsia"/>
                <w:sz w:val="18"/>
                <w:szCs w:val="18"/>
              </w:rPr>
              <w:t>合同负债</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97,435,826.12</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305,961,757.67</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-68.15%</w:t>
            </w:r>
          </w:p>
        </w:tc>
        <w:tc>
          <w:tcPr>
            <w:tcW w:w="31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48D8" w:rsidRPr="00C53B85" w:rsidRDefault="000D04B8">
            <w:pPr>
              <w:pStyle w:val="a3"/>
              <w:spacing w:before="0" w:beforeAutospacing="0" w:after="0" w:afterAutospacing="0"/>
              <w:rPr>
                <w:rFonts w:asciiTheme="minorEastAsia" w:eastAsiaTheme="minorEastAsia" w:hAnsiTheme="minorEastAsia"/>
                <w:sz w:val="21"/>
                <w:szCs w:val="21"/>
              </w:rPr>
            </w:pPr>
            <w:r w:rsidRPr="00C53B85">
              <w:rPr>
                <w:rFonts w:asciiTheme="minorEastAsia" w:eastAsiaTheme="minorEastAsia" w:hAnsiTheme="minorEastAsia" w:hint="eastAsia"/>
                <w:sz w:val="18"/>
                <w:szCs w:val="18"/>
              </w:rPr>
              <w:t>主要系子公司合同负债结转收入所致</w:t>
            </w:r>
          </w:p>
        </w:tc>
      </w:tr>
      <w:tr w:rsidR="000748D8" w:rsidRPr="00C53B85" w:rsidTr="00140B12">
        <w:trPr>
          <w:divId w:val="463503008"/>
          <w:trHeight w:val="264"/>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rPr>
                <w:rFonts w:asciiTheme="minorEastAsia" w:eastAsiaTheme="minorEastAsia" w:hAnsiTheme="minorEastAsia"/>
                <w:sz w:val="21"/>
                <w:szCs w:val="21"/>
              </w:rPr>
            </w:pPr>
            <w:r w:rsidRPr="00C53B85">
              <w:rPr>
                <w:rFonts w:asciiTheme="minorEastAsia" w:eastAsiaTheme="minorEastAsia" w:hAnsiTheme="minorEastAsia" w:hint="eastAsia"/>
                <w:sz w:val="18"/>
                <w:szCs w:val="18"/>
              </w:rPr>
              <w:t>应付职工薪酬</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2,828,857.29</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4,601,550.49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-38.52%</w:t>
            </w:r>
          </w:p>
        </w:tc>
        <w:tc>
          <w:tcPr>
            <w:tcW w:w="31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48D8" w:rsidRPr="00C53B85" w:rsidRDefault="000D04B8">
            <w:pPr>
              <w:pStyle w:val="a3"/>
              <w:spacing w:before="0" w:beforeAutospacing="0" w:after="0" w:afterAutospacing="0"/>
              <w:rPr>
                <w:rFonts w:asciiTheme="minorEastAsia" w:eastAsiaTheme="minorEastAsia" w:hAnsiTheme="minorEastAsia"/>
                <w:sz w:val="21"/>
                <w:szCs w:val="21"/>
              </w:rPr>
            </w:pPr>
            <w:r w:rsidRPr="00C53B85">
              <w:rPr>
                <w:rFonts w:asciiTheme="minorEastAsia" w:eastAsiaTheme="minorEastAsia" w:hAnsiTheme="minorEastAsia" w:hint="eastAsia"/>
                <w:sz w:val="18"/>
                <w:szCs w:val="18"/>
              </w:rPr>
              <w:t>主要系子公司应付职工薪酬发放所致</w:t>
            </w:r>
          </w:p>
        </w:tc>
      </w:tr>
      <w:tr w:rsidR="000748D8" w:rsidRPr="00C53B85" w:rsidTr="00140B12">
        <w:trPr>
          <w:divId w:val="463503008"/>
          <w:trHeight w:val="264"/>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rPr>
                <w:rFonts w:asciiTheme="minorEastAsia" w:eastAsiaTheme="minorEastAsia" w:hAnsiTheme="minorEastAsia"/>
                <w:sz w:val="21"/>
                <w:szCs w:val="21"/>
              </w:rPr>
            </w:pPr>
            <w:r w:rsidRPr="00C53B85">
              <w:rPr>
                <w:rFonts w:asciiTheme="minorEastAsia" w:eastAsiaTheme="minorEastAsia" w:hAnsiTheme="minorEastAsia" w:hint="eastAsia"/>
                <w:sz w:val="18"/>
                <w:szCs w:val="18"/>
              </w:rPr>
              <w:t>其他流动负债</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67,527,147.96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147,266,100.35</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-54.15%</w:t>
            </w:r>
          </w:p>
        </w:tc>
        <w:tc>
          <w:tcPr>
            <w:tcW w:w="31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48D8" w:rsidRPr="00C53B85" w:rsidRDefault="000D04B8">
            <w:pPr>
              <w:pStyle w:val="a3"/>
              <w:spacing w:before="0" w:beforeAutospacing="0" w:after="0" w:afterAutospacing="0"/>
              <w:rPr>
                <w:rFonts w:asciiTheme="minorEastAsia" w:eastAsiaTheme="minorEastAsia" w:hAnsiTheme="minorEastAsia"/>
                <w:sz w:val="21"/>
                <w:szCs w:val="21"/>
              </w:rPr>
            </w:pPr>
            <w:r w:rsidRPr="00C53B85">
              <w:rPr>
                <w:rFonts w:asciiTheme="minorEastAsia" w:eastAsiaTheme="minorEastAsia" w:hAnsiTheme="minorEastAsia" w:hint="eastAsia"/>
                <w:sz w:val="18"/>
                <w:szCs w:val="18"/>
              </w:rPr>
              <w:t>主要系子公司一年期融资到期还款所致</w:t>
            </w:r>
          </w:p>
        </w:tc>
      </w:tr>
      <w:tr w:rsidR="000748D8" w:rsidRPr="00C53B85" w:rsidTr="00140B12">
        <w:trPr>
          <w:divId w:val="463503008"/>
          <w:trHeight w:val="264"/>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rPr>
                <w:rFonts w:asciiTheme="minorEastAsia" w:eastAsiaTheme="minorEastAsia" w:hAnsiTheme="minorEastAsia"/>
                <w:sz w:val="21"/>
                <w:szCs w:val="21"/>
              </w:rPr>
            </w:pPr>
            <w:r w:rsidRPr="00C53B85">
              <w:rPr>
                <w:rFonts w:asciiTheme="minorEastAsia" w:eastAsiaTheme="minorEastAsia" w:hAnsiTheme="minorEastAsia" w:hint="eastAsia"/>
                <w:sz w:val="18"/>
                <w:szCs w:val="18"/>
              </w:rPr>
              <w:t>长期借款</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1,061,506,487.16</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660,639,225.76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60.68%</w:t>
            </w:r>
          </w:p>
        </w:tc>
        <w:tc>
          <w:tcPr>
            <w:tcW w:w="31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48D8" w:rsidRPr="00C53B85" w:rsidRDefault="000D04B8">
            <w:pPr>
              <w:pStyle w:val="a3"/>
              <w:spacing w:before="0" w:beforeAutospacing="0" w:after="0" w:afterAutospacing="0"/>
              <w:rPr>
                <w:rFonts w:asciiTheme="minorEastAsia" w:eastAsiaTheme="minorEastAsia" w:hAnsiTheme="minorEastAsia"/>
                <w:sz w:val="21"/>
                <w:szCs w:val="21"/>
              </w:rPr>
            </w:pPr>
            <w:r w:rsidRPr="00C53B85">
              <w:rPr>
                <w:rFonts w:asciiTheme="minorEastAsia" w:eastAsiaTheme="minorEastAsia" w:hAnsiTheme="minorEastAsia" w:hint="eastAsia"/>
                <w:sz w:val="18"/>
                <w:szCs w:val="18"/>
              </w:rPr>
              <w:t>主要系子公司长期借款增多所致</w:t>
            </w:r>
          </w:p>
        </w:tc>
      </w:tr>
      <w:tr w:rsidR="000748D8" w:rsidRPr="00C53B85" w:rsidTr="00140B12">
        <w:trPr>
          <w:divId w:val="463503008"/>
          <w:trHeight w:val="264"/>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rPr>
                <w:rFonts w:asciiTheme="minorEastAsia" w:eastAsiaTheme="minorEastAsia" w:hAnsiTheme="minorEastAsia"/>
                <w:sz w:val="21"/>
                <w:szCs w:val="21"/>
              </w:rPr>
            </w:pPr>
            <w:r w:rsidRPr="00C53B85">
              <w:rPr>
                <w:rFonts w:asciiTheme="minorEastAsia" w:eastAsiaTheme="minorEastAsia" w:hAnsiTheme="minorEastAsia" w:hint="eastAsia"/>
                <w:sz w:val="18"/>
                <w:szCs w:val="18"/>
              </w:rPr>
              <w:t>长期应付款</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472,603,708.31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341,969,218.86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38.20%</w:t>
            </w:r>
          </w:p>
        </w:tc>
        <w:tc>
          <w:tcPr>
            <w:tcW w:w="31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48D8" w:rsidRPr="00C53B85" w:rsidRDefault="000D04B8">
            <w:pPr>
              <w:pStyle w:val="a3"/>
              <w:spacing w:before="0" w:beforeAutospacing="0" w:after="0" w:afterAutospacing="0"/>
              <w:rPr>
                <w:rFonts w:asciiTheme="minorEastAsia" w:eastAsiaTheme="minorEastAsia" w:hAnsiTheme="minorEastAsia"/>
                <w:sz w:val="21"/>
                <w:szCs w:val="21"/>
              </w:rPr>
            </w:pPr>
            <w:r w:rsidRPr="00C53B85">
              <w:rPr>
                <w:rFonts w:asciiTheme="minorEastAsia" w:eastAsiaTheme="minorEastAsia" w:hAnsiTheme="minorEastAsia" w:hint="eastAsia"/>
                <w:sz w:val="18"/>
                <w:szCs w:val="18"/>
              </w:rPr>
              <w:t>主要系子公司长期融资款增多所致</w:t>
            </w:r>
          </w:p>
        </w:tc>
      </w:tr>
    </w:tbl>
    <w:p w:rsidR="000748D8" w:rsidRPr="00C53B85" w:rsidRDefault="000D04B8">
      <w:pPr>
        <w:pStyle w:val="a3"/>
        <w:divId w:val="463503008"/>
        <w:rPr>
          <w:rFonts w:asciiTheme="minorEastAsia" w:eastAsiaTheme="minorEastAsia" w:hAnsiTheme="minorEastAsia"/>
          <w:sz w:val="18"/>
          <w:szCs w:val="18"/>
        </w:rPr>
      </w:pPr>
      <w:r w:rsidRPr="00C53B85">
        <w:rPr>
          <w:rFonts w:asciiTheme="minorEastAsia" w:eastAsiaTheme="minorEastAsia" w:hAnsiTheme="minorEastAsia" w:hint="eastAsia"/>
          <w:sz w:val="18"/>
          <w:szCs w:val="18"/>
        </w:rPr>
        <w:lastRenderedPageBreak/>
        <w:t> </w:t>
      </w:r>
    </w:p>
    <w:tbl>
      <w:tblPr>
        <w:tblW w:w="9776" w:type="dxa"/>
        <w:tblCellMar>
          <w:left w:w="0" w:type="dxa"/>
          <w:right w:w="0" w:type="dxa"/>
        </w:tblCellMar>
        <w:tblLook w:val="04A0" w:firstRow="1" w:lastRow="0" w:firstColumn="1" w:lastColumn="0" w:noHBand="0" w:noVBand="1"/>
      </w:tblPr>
      <w:tblGrid>
        <w:gridCol w:w="2235"/>
        <w:gridCol w:w="1701"/>
        <w:gridCol w:w="1701"/>
        <w:gridCol w:w="992"/>
        <w:gridCol w:w="3147"/>
      </w:tblGrid>
      <w:tr w:rsidR="000748D8" w:rsidRPr="00C53B85">
        <w:trPr>
          <w:divId w:val="463503008"/>
          <w:trHeight w:val="276"/>
        </w:trPr>
        <w:tc>
          <w:tcPr>
            <w:tcW w:w="9776"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center"/>
              <w:rPr>
                <w:rFonts w:asciiTheme="minorEastAsia" w:eastAsiaTheme="minorEastAsia" w:hAnsiTheme="minorEastAsia"/>
                <w:sz w:val="21"/>
                <w:szCs w:val="21"/>
              </w:rPr>
            </w:pPr>
            <w:r w:rsidRPr="00C53B85">
              <w:rPr>
                <w:rStyle w:val="a4"/>
                <w:rFonts w:asciiTheme="minorEastAsia" w:eastAsiaTheme="minorEastAsia" w:hAnsiTheme="minorEastAsia" w:hint="eastAsia"/>
                <w:sz w:val="20"/>
                <w:szCs w:val="20"/>
              </w:rPr>
              <w:t>合并利润表</w:t>
            </w:r>
          </w:p>
        </w:tc>
      </w:tr>
      <w:tr w:rsidR="000748D8" w:rsidRPr="00C53B85" w:rsidTr="00140B12">
        <w:trPr>
          <w:divId w:val="463503008"/>
          <w:trHeight w:val="264"/>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center"/>
              <w:rPr>
                <w:rFonts w:asciiTheme="minorEastAsia" w:eastAsiaTheme="minorEastAsia" w:hAnsiTheme="minorEastAsia"/>
                <w:sz w:val="21"/>
                <w:szCs w:val="21"/>
              </w:rPr>
            </w:pPr>
            <w:r w:rsidRPr="00C53B85">
              <w:rPr>
                <w:rStyle w:val="a4"/>
                <w:rFonts w:asciiTheme="minorEastAsia" w:eastAsiaTheme="minorEastAsia" w:hAnsiTheme="minorEastAsia" w:hint="eastAsia"/>
                <w:sz w:val="18"/>
                <w:szCs w:val="18"/>
              </w:rPr>
              <w:t>科目</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center"/>
              <w:rPr>
                <w:rFonts w:asciiTheme="minorEastAsia" w:eastAsiaTheme="minorEastAsia" w:hAnsiTheme="minorEastAsia"/>
                <w:sz w:val="21"/>
                <w:szCs w:val="21"/>
              </w:rPr>
            </w:pPr>
            <w:r w:rsidRPr="00C53B85">
              <w:rPr>
                <w:rStyle w:val="a4"/>
                <w:rFonts w:asciiTheme="minorEastAsia" w:eastAsiaTheme="minorEastAsia" w:hAnsiTheme="minorEastAsia" w:hint="eastAsia"/>
                <w:sz w:val="18"/>
                <w:szCs w:val="18"/>
              </w:rPr>
              <w:t>本年数</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center"/>
              <w:rPr>
                <w:rFonts w:asciiTheme="minorEastAsia" w:eastAsiaTheme="minorEastAsia" w:hAnsiTheme="minorEastAsia"/>
                <w:sz w:val="21"/>
                <w:szCs w:val="21"/>
              </w:rPr>
            </w:pPr>
            <w:r w:rsidRPr="00C53B85">
              <w:rPr>
                <w:rStyle w:val="a4"/>
                <w:rFonts w:asciiTheme="minorEastAsia" w:eastAsiaTheme="minorEastAsia" w:hAnsiTheme="minorEastAsia" w:hint="eastAsia"/>
                <w:sz w:val="18"/>
                <w:szCs w:val="18"/>
              </w:rPr>
              <w:t>上年数</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center"/>
              <w:rPr>
                <w:rFonts w:asciiTheme="minorEastAsia" w:eastAsiaTheme="minorEastAsia" w:hAnsiTheme="minorEastAsia"/>
                <w:sz w:val="21"/>
                <w:szCs w:val="21"/>
              </w:rPr>
            </w:pPr>
            <w:r w:rsidRPr="00C53B85">
              <w:rPr>
                <w:rStyle w:val="a4"/>
                <w:rFonts w:asciiTheme="minorEastAsia" w:eastAsiaTheme="minorEastAsia" w:hAnsiTheme="minorEastAsia" w:hint="eastAsia"/>
                <w:sz w:val="18"/>
                <w:szCs w:val="18"/>
              </w:rPr>
              <w:t>变动率</w:t>
            </w:r>
          </w:p>
        </w:tc>
        <w:tc>
          <w:tcPr>
            <w:tcW w:w="3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center"/>
              <w:rPr>
                <w:rFonts w:asciiTheme="minorEastAsia" w:eastAsiaTheme="minorEastAsia" w:hAnsiTheme="minorEastAsia"/>
                <w:sz w:val="21"/>
                <w:szCs w:val="21"/>
              </w:rPr>
            </w:pPr>
            <w:r w:rsidRPr="00C53B85">
              <w:rPr>
                <w:rStyle w:val="a4"/>
                <w:rFonts w:asciiTheme="minorEastAsia" w:eastAsiaTheme="minorEastAsia" w:hAnsiTheme="minorEastAsia" w:hint="eastAsia"/>
                <w:sz w:val="18"/>
                <w:szCs w:val="18"/>
              </w:rPr>
              <w:t>变动原因</w:t>
            </w:r>
          </w:p>
        </w:tc>
      </w:tr>
      <w:tr w:rsidR="000748D8" w:rsidRPr="00C53B85" w:rsidTr="00140B12">
        <w:trPr>
          <w:divId w:val="463503008"/>
          <w:trHeight w:val="264"/>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rPr>
                <w:rFonts w:asciiTheme="minorEastAsia" w:eastAsiaTheme="minorEastAsia" w:hAnsiTheme="minorEastAsia"/>
                <w:sz w:val="21"/>
                <w:szCs w:val="21"/>
              </w:rPr>
            </w:pPr>
            <w:r w:rsidRPr="00C53B85">
              <w:rPr>
                <w:rFonts w:asciiTheme="minorEastAsia" w:eastAsiaTheme="minorEastAsia" w:hAnsiTheme="minorEastAsia" w:hint="eastAsia"/>
                <w:sz w:val="18"/>
                <w:szCs w:val="18"/>
              </w:rPr>
              <w:t>投资收益</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18,846,588.51</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26,930,021.08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-30.02%</w:t>
            </w:r>
          </w:p>
        </w:tc>
        <w:tc>
          <w:tcPr>
            <w:tcW w:w="3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48D8" w:rsidRPr="00C53B85" w:rsidRDefault="000D04B8">
            <w:pPr>
              <w:pStyle w:val="a3"/>
              <w:spacing w:before="0" w:beforeAutospacing="0" w:after="0" w:afterAutospacing="0"/>
              <w:rPr>
                <w:rFonts w:asciiTheme="minorEastAsia" w:eastAsiaTheme="minorEastAsia" w:hAnsiTheme="minorEastAsia"/>
                <w:sz w:val="21"/>
                <w:szCs w:val="21"/>
              </w:rPr>
            </w:pPr>
            <w:r w:rsidRPr="00C53B85">
              <w:rPr>
                <w:rFonts w:asciiTheme="minorEastAsia" w:eastAsiaTheme="minorEastAsia" w:hAnsiTheme="minorEastAsia" w:hint="eastAsia"/>
                <w:sz w:val="18"/>
                <w:szCs w:val="18"/>
              </w:rPr>
              <w:t>主要系对参股公司投资收益减少所致</w:t>
            </w:r>
          </w:p>
        </w:tc>
      </w:tr>
      <w:tr w:rsidR="000748D8" w:rsidRPr="00C53B85" w:rsidTr="00140B12">
        <w:trPr>
          <w:divId w:val="463503008"/>
          <w:trHeight w:val="264"/>
        </w:trPr>
        <w:tc>
          <w:tcPr>
            <w:tcW w:w="223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rPr>
                <w:rFonts w:asciiTheme="minorEastAsia" w:eastAsiaTheme="minorEastAsia" w:hAnsiTheme="minorEastAsia"/>
                <w:sz w:val="21"/>
                <w:szCs w:val="21"/>
              </w:rPr>
            </w:pPr>
            <w:r w:rsidRPr="00C53B85">
              <w:rPr>
                <w:rFonts w:asciiTheme="minorEastAsia" w:eastAsiaTheme="minorEastAsia" w:hAnsiTheme="minorEastAsia" w:hint="eastAsia"/>
                <w:sz w:val="18"/>
                <w:szCs w:val="18"/>
              </w:rPr>
              <w:t>所得税费用</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12,900,689.72</w:t>
            </w:r>
          </w:p>
        </w:tc>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8,860,410.06</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C53B85" w:rsidRDefault="000D04B8">
            <w:pPr>
              <w:pStyle w:val="a3"/>
              <w:spacing w:before="0" w:beforeAutospacing="0" w:after="0" w:afterAutospacing="0"/>
              <w:jc w:val="right"/>
              <w:rPr>
                <w:rFonts w:asciiTheme="minorEastAsia" w:eastAsiaTheme="minorEastAsia" w:hAnsiTheme="minorEastAsia"/>
                <w:sz w:val="21"/>
                <w:szCs w:val="21"/>
              </w:rPr>
            </w:pPr>
            <w:r w:rsidRPr="00C53B85">
              <w:rPr>
                <w:rFonts w:asciiTheme="minorEastAsia" w:eastAsiaTheme="minorEastAsia" w:hAnsiTheme="minorEastAsia"/>
                <w:sz w:val="18"/>
                <w:szCs w:val="18"/>
              </w:rPr>
              <w:t>45.60%</w:t>
            </w:r>
          </w:p>
        </w:tc>
        <w:tc>
          <w:tcPr>
            <w:tcW w:w="314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48D8" w:rsidRPr="00C53B85" w:rsidRDefault="000D04B8">
            <w:pPr>
              <w:pStyle w:val="a3"/>
              <w:spacing w:before="0" w:beforeAutospacing="0" w:after="0" w:afterAutospacing="0"/>
              <w:rPr>
                <w:rFonts w:asciiTheme="minorEastAsia" w:eastAsiaTheme="minorEastAsia" w:hAnsiTheme="minorEastAsia"/>
                <w:sz w:val="21"/>
                <w:szCs w:val="21"/>
              </w:rPr>
            </w:pPr>
            <w:r w:rsidRPr="00C53B85">
              <w:rPr>
                <w:rFonts w:asciiTheme="minorEastAsia" w:eastAsiaTheme="minorEastAsia" w:hAnsiTheme="minorEastAsia" w:hint="eastAsia"/>
                <w:sz w:val="18"/>
                <w:szCs w:val="18"/>
              </w:rPr>
              <w:t>主要系子公司盈利增加所致</w:t>
            </w:r>
          </w:p>
        </w:tc>
      </w:tr>
    </w:tbl>
    <w:p w:rsidR="000748D8" w:rsidRDefault="000D04B8">
      <w:pPr>
        <w:pStyle w:val="a3"/>
        <w:divId w:val="463503008"/>
        <w:rPr>
          <w:sz w:val="18"/>
          <w:szCs w:val="18"/>
        </w:rPr>
      </w:pPr>
      <w:r>
        <w:rPr>
          <w:rFonts w:hint="eastAsia"/>
          <w:sz w:val="18"/>
          <w:szCs w:val="18"/>
        </w:rPr>
        <w:t> </w:t>
      </w:r>
    </w:p>
    <w:tbl>
      <w:tblPr>
        <w:tblW w:w="9781" w:type="dxa"/>
        <w:tblCellMar>
          <w:left w:w="0" w:type="dxa"/>
          <w:right w:w="0" w:type="dxa"/>
        </w:tblCellMar>
        <w:tblLook w:val="04A0" w:firstRow="1" w:lastRow="0" w:firstColumn="1" w:lastColumn="0" w:noHBand="0" w:noVBand="1"/>
      </w:tblPr>
      <w:tblGrid>
        <w:gridCol w:w="2689"/>
        <w:gridCol w:w="1417"/>
        <w:gridCol w:w="1476"/>
        <w:gridCol w:w="992"/>
        <w:gridCol w:w="3207"/>
      </w:tblGrid>
      <w:tr w:rsidR="000748D8">
        <w:trPr>
          <w:divId w:val="463503008"/>
          <w:trHeight w:val="276"/>
        </w:trPr>
        <w:tc>
          <w:tcPr>
            <w:tcW w:w="9781"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48D8" w:rsidRDefault="000D04B8">
            <w:pPr>
              <w:pStyle w:val="a3"/>
              <w:spacing w:before="0" w:beforeAutospacing="0" w:after="0" w:afterAutospacing="0"/>
              <w:jc w:val="center"/>
              <w:rPr>
                <w:rFonts w:ascii="Arial Narrow" w:hAnsi="Arial Narrow"/>
                <w:sz w:val="21"/>
                <w:szCs w:val="21"/>
              </w:rPr>
            </w:pPr>
            <w:r>
              <w:rPr>
                <w:rStyle w:val="a4"/>
                <w:rFonts w:hint="eastAsia"/>
                <w:sz w:val="20"/>
                <w:szCs w:val="20"/>
              </w:rPr>
              <w:t>合并现金流量表</w:t>
            </w:r>
          </w:p>
        </w:tc>
      </w:tr>
      <w:tr w:rsidR="000748D8">
        <w:trPr>
          <w:divId w:val="463503008"/>
          <w:trHeight w:val="264"/>
        </w:trPr>
        <w:tc>
          <w:tcPr>
            <w:tcW w:w="2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48D8" w:rsidRDefault="000D04B8">
            <w:pPr>
              <w:pStyle w:val="a3"/>
              <w:spacing w:before="0" w:beforeAutospacing="0" w:after="0" w:afterAutospacing="0"/>
              <w:jc w:val="center"/>
              <w:rPr>
                <w:rFonts w:ascii="Arial Narrow" w:hAnsi="Arial Narrow"/>
                <w:sz w:val="21"/>
                <w:szCs w:val="21"/>
              </w:rPr>
            </w:pPr>
            <w:r>
              <w:rPr>
                <w:rStyle w:val="a4"/>
                <w:rFonts w:hint="eastAsia"/>
                <w:sz w:val="18"/>
                <w:szCs w:val="18"/>
              </w:rPr>
              <w:t>科目</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Default="000D04B8">
            <w:pPr>
              <w:pStyle w:val="a3"/>
              <w:spacing w:before="0" w:beforeAutospacing="0" w:after="0" w:afterAutospacing="0"/>
              <w:jc w:val="center"/>
              <w:rPr>
                <w:rFonts w:ascii="Arial Narrow" w:hAnsi="Arial Narrow"/>
                <w:sz w:val="21"/>
                <w:szCs w:val="21"/>
              </w:rPr>
            </w:pPr>
            <w:r>
              <w:rPr>
                <w:rStyle w:val="a4"/>
                <w:rFonts w:hint="eastAsia"/>
                <w:sz w:val="18"/>
                <w:szCs w:val="18"/>
              </w:rPr>
              <w:t>本年数</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Default="000D04B8">
            <w:pPr>
              <w:pStyle w:val="a3"/>
              <w:spacing w:before="0" w:beforeAutospacing="0" w:after="0" w:afterAutospacing="0"/>
              <w:jc w:val="center"/>
              <w:rPr>
                <w:rFonts w:ascii="Arial Narrow" w:hAnsi="Arial Narrow"/>
                <w:sz w:val="21"/>
                <w:szCs w:val="21"/>
              </w:rPr>
            </w:pPr>
            <w:r>
              <w:rPr>
                <w:rStyle w:val="a4"/>
                <w:rFonts w:hint="eastAsia"/>
                <w:sz w:val="18"/>
                <w:szCs w:val="18"/>
              </w:rPr>
              <w:t>上年数</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Default="000D04B8">
            <w:pPr>
              <w:pStyle w:val="a3"/>
              <w:spacing w:before="0" w:beforeAutospacing="0" w:after="0" w:afterAutospacing="0"/>
              <w:jc w:val="center"/>
              <w:rPr>
                <w:rFonts w:ascii="Arial Narrow" w:hAnsi="Arial Narrow"/>
                <w:sz w:val="21"/>
                <w:szCs w:val="21"/>
              </w:rPr>
            </w:pPr>
            <w:r>
              <w:rPr>
                <w:rStyle w:val="a4"/>
                <w:rFonts w:hint="eastAsia"/>
                <w:sz w:val="18"/>
                <w:szCs w:val="18"/>
              </w:rPr>
              <w:t>变动率</w:t>
            </w:r>
          </w:p>
        </w:tc>
        <w:tc>
          <w:tcPr>
            <w:tcW w:w="3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48D8" w:rsidRDefault="000D04B8">
            <w:pPr>
              <w:pStyle w:val="a3"/>
              <w:spacing w:before="0" w:beforeAutospacing="0" w:after="0" w:afterAutospacing="0"/>
              <w:jc w:val="center"/>
              <w:rPr>
                <w:rFonts w:ascii="Arial Narrow" w:hAnsi="Arial Narrow"/>
                <w:sz w:val="21"/>
                <w:szCs w:val="21"/>
              </w:rPr>
            </w:pPr>
            <w:r>
              <w:rPr>
                <w:rStyle w:val="a4"/>
                <w:rFonts w:hint="eastAsia"/>
                <w:sz w:val="18"/>
                <w:szCs w:val="18"/>
              </w:rPr>
              <w:t>变动原因</w:t>
            </w:r>
          </w:p>
        </w:tc>
      </w:tr>
      <w:tr w:rsidR="000748D8">
        <w:trPr>
          <w:divId w:val="463503008"/>
          <w:trHeight w:val="264"/>
        </w:trPr>
        <w:tc>
          <w:tcPr>
            <w:tcW w:w="2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48D8" w:rsidRDefault="000D04B8">
            <w:pPr>
              <w:pStyle w:val="a3"/>
              <w:spacing w:before="0" w:beforeAutospacing="0" w:after="0" w:afterAutospacing="0"/>
              <w:rPr>
                <w:rFonts w:ascii="Arial Narrow" w:hAnsi="Arial Narrow"/>
                <w:sz w:val="21"/>
                <w:szCs w:val="21"/>
              </w:rPr>
            </w:pPr>
            <w:r>
              <w:rPr>
                <w:rFonts w:hint="eastAsia"/>
                <w:sz w:val="18"/>
                <w:szCs w:val="18"/>
              </w:rPr>
              <w:t>经营活动产生的现金流量净额</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8A5890" w:rsidRDefault="000D04B8">
            <w:pPr>
              <w:pStyle w:val="a3"/>
              <w:spacing w:before="0" w:beforeAutospacing="0" w:after="0" w:afterAutospacing="0"/>
              <w:jc w:val="right"/>
              <w:rPr>
                <w:rFonts w:asciiTheme="minorEastAsia" w:eastAsiaTheme="minorEastAsia" w:hAnsiTheme="minorEastAsia"/>
                <w:sz w:val="21"/>
                <w:szCs w:val="21"/>
              </w:rPr>
            </w:pPr>
            <w:r w:rsidRPr="008A5890">
              <w:rPr>
                <w:rFonts w:asciiTheme="minorEastAsia" w:eastAsiaTheme="minorEastAsia" w:hAnsiTheme="minorEastAsia"/>
                <w:sz w:val="18"/>
                <w:szCs w:val="18"/>
              </w:rPr>
              <w:t>23,802,514.94</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8A5890" w:rsidRDefault="000D04B8">
            <w:pPr>
              <w:pStyle w:val="a3"/>
              <w:spacing w:before="0" w:beforeAutospacing="0" w:after="0" w:afterAutospacing="0"/>
              <w:jc w:val="right"/>
              <w:rPr>
                <w:rFonts w:asciiTheme="minorEastAsia" w:eastAsiaTheme="minorEastAsia" w:hAnsiTheme="minorEastAsia"/>
                <w:sz w:val="21"/>
                <w:szCs w:val="21"/>
              </w:rPr>
            </w:pPr>
            <w:r w:rsidRPr="008A5890">
              <w:rPr>
                <w:rFonts w:asciiTheme="minorEastAsia" w:eastAsiaTheme="minorEastAsia" w:hAnsiTheme="minorEastAsia"/>
                <w:sz w:val="18"/>
                <w:szCs w:val="18"/>
              </w:rPr>
              <w:t>74,677,487.19</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8A5890" w:rsidRDefault="000D04B8">
            <w:pPr>
              <w:pStyle w:val="a3"/>
              <w:spacing w:before="0" w:beforeAutospacing="0" w:after="0" w:afterAutospacing="0"/>
              <w:jc w:val="right"/>
              <w:rPr>
                <w:rFonts w:asciiTheme="minorEastAsia" w:eastAsiaTheme="minorEastAsia" w:hAnsiTheme="minorEastAsia"/>
                <w:sz w:val="21"/>
                <w:szCs w:val="21"/>
              </w:rPr>
            </w:pPr>
            <w:r w:rsidRPr="008A5890">
              <w:rPr>
                <w:rFonts w:asciiTheme="minorEastAsia" w:eastAsiaTheme="minorEastAsia" w:hAnsiTheme="minorEastAsia"/>
                <w:sz w:val="18"/>
                <w:szCs w:val="18"/>
              </w:rPr>
              <w:t>-68.13%</w:t>
            </w:r>
          </w:p>
        </w:tc>
        <w:tc>
          <w:tcPr>
            <w:tcW w:w="326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48D8" w:rsidRDefault="000D04B8">
            <w:pPr>
              <w:pStyle w:val="a3"/>
              <w:spacing w:before="0" w:beforeAutospacing="0" w:after="0" w:afterAutospacing="0"/>
              <w:rPr>
                <w:rFonts w:ascii="Arial Narrow" w:hAnsi="Arial Narrow"/>
                <w:sz w:val="21"/>
                <w:szCs w:val="21"/>
              </w:rPr>
            </w:pPr>
            <w:r>
              <w:rPr>
                <w:rFonts w:hint="eastAsia"/>
                <w:sz w:val="18"/>
                <w:szCs w:val="18"/>
              </w:rPr>
              <w:t>主要系经营活动现金流入减少所致</w:t>
            </w:r>
          </w:p>
        </w:tc>
      </w:tr>
      <w:tr w:rsidR="000748D8">
        <w:trPr>
          <w:divId w:val="463503008"/>
          <w:trHeight w:val="264"/>
        </w:trPr>
        <w:tc>
          <w:tcPr>
            <w:tcW w:w="2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48D8" w:rsidRDefault="000D04B8">
            <w:pPr>
              <w:pStyle w:val="a3"/>
              <w:spacing w:before="0" w:beforeAutospacing="0" w:after="0" w:afterAutospacing="0"/>
              <w:rPr>
                <w:rFonts w:ascii="Arial Narrow" w:hAnsi="Arial Narrow"/>
                <w:sz w:val="21"/>
                <w:szCs w:val="21"/>
              </w:rPr>
            </w:pPr>
            <w:r>
              <w:rPr>
                <w:rFonts w:hint="eastAsia"/>
                <w:sz w:val="18"/>
                <w:szCs w:val="18"/>
              </w:rPr>
              <w:t>投资活动产生的现金流量净额</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8A5890" w:rsidRDefault="000D04B8">
            <w:pPr>
              <w:pStyle w:val="a3"/>
              <w:spacing w:before="0" w:beforeAutospacing="0" w:after="0" w:afterAutospacing="0"/>
              <w:jc w:val="right"/>
              <w:rPr>
                <w:rFonts w:asciiTheme="minorEastAsia" w:eastAsiaTheme="minorEastAsia" w:hAnsiTheme="minorEastAsia"/>
                <w:sz w:val="21"/>
                <w:szCs w:val="21"/>
              </w:rPr>
            </w:pPr>
            <w:r w:rsidRPr="008A5890">
              <w:rPr>
                <w:rFonts w:asciiTheme="minorEastAsia" w:eastAsiaTheme="minorEastAsia" w:hAnsiTheme="minorEastAsia"/>
                <w:sz w:val="18"/>
                <w:szCs w:val="18"/>
              </w:rPr>
              <w:t>-87,020,543.11</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8A5890" w:rsidRDefault="000D04B8">
            <w:pPr>
              <w:pStyle w:val="a3"/>
              <w:spacing w:before="0" w:beforeAutospacing="0" w:after="0" w:afterAutospacing="0"/>
              <w:jc w:val="right"/>
              <w:rPr>
                <w:rFonts w:asciiTheme="minorEastAsia" w:eastAsiaTheme="minorEastAsia" w:hAnsiTheme="minorEastAsia"/>
                <w:sz w:val="21"/>
                <w:szCs w:val="21"/>
              </w:rPr>
            </w:pPr>
            <w:r w:rsidRPr="008A5890">
              <w:rPr>
                <w:rFonts w:asciiTheme="minorEastAsia" w:eastAsiaTheme="minorEastAsia" w:hAnsiTheme="minorEastAsia"/>
                <w:sz w:val="18"/>
                <w:szCs w:val="18"/>
              </w:rPr>
              <w:t>-252,711,944.88</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8A5890" w:rsidRDefault="000D04B8">
            <w:pPr>
              <w:pStyle w:val="a3"/>
              <w:spacing w:before="0" w:beforeAutospacing="0" w:after="0" w:afterAutospacing="0"/>
              <w:jc w:val="right"/>
              <w:rPr>
                <w:rFonts w:asciiTheme="minorEastAsia" w:eastAsiaTheme="minorEastAsia" w:hAnsiTheme="minorEastAsia"/>
                <w:sz w:val="21"/>
                <w:szCs w:val="21"/>
              </w:rPr>
            </w:pPr>
            <w:r w:rsidRPr="008A5890">
              <w:rPr>
                <w:rFonts w:asciiTheme="minorEastAsia" w:eastAsiaTheme="minorEastAsia" w:hAnsiTheme="minorEastAsia"/>
                <w:sz w:val="18"/>
                <w:szCs w:val="18"/>
              </w:rPr>
              <w:t>65.57%</w:t>
            </w:r>
          </w:p>
        </w:tc>
        <w:tc>
          <w:tcPr>
            <w:tcW w:w="326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0748D8" w:rsidRDefault="000D04B8">
            <w:pPr>
              <w:pStyle w:val="a3"/>
              <w:spacing w:before="0" w:beforeAutospacing="0" w:after="0" w:afterAutospacing="0"/>
              <w:rPr>
                <w:rFonts w:ascii="Arial Narrow" w:hAnsi="Arial Narrow"/>
                <w:sz w:val="21"/>
                <w:szCs w:val="21"/>
              </w:rPr>
            </w:pPr>
            <w:r>
              <w:rPr>
                <w:rFonts w:hint="eastAsia"/>
                <w:sz w:val="18"/>
                <w:szCs w:val="18"/>
              </w:rPr>
              <w:t>主要系购建固定资产现金流出减少所致</w:t>
            </w:r>
          </w:p>
        </w:tc>
      </w:tr>
      <w:tr w:rsidR="000748D8">
        <w:trPr>
          <w:divId w:val="463503008"/>
          <w:trHeight w:val="264"/>
        </w:trPr>
        <w:tc>
          <w:tcPr>
            <w:tcW w:w="2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48D8" w:rsidRDefault="000D04B8">
            <w:pPr>
              <w:pStyle w:val="a3"/>
              <w:spacing w:before="0" w:beforeAutospacing="0" w:after="0" w:afterAutospacing="0"/>
              <w:rPr>
                <w:rFonts w:ascii="Arial Narrow" w:hAnsi="Arial Narrow"/>
                <w:sz w:val="21"/>
                <w:szCs w:val="21"/>
              </w:rPr>
            </w:pPr>
            <w:r>
              <w:rPr>
                <w:rFonts w:hint="eastAsia"/>
                <w:sz w:val="18"/>
                <w:szCs w:val="18"/>
              </w:rPr>
              <w:t>筹资活动产生的现金流量净额</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8A5890" w:rsidRDefault="000D04B8">
            <w:pPr>
              <w:pStyle w:val="a3"/>
              <w:spacing w:before="0" w:beforeAutospacing="0" w:after="0" w:afterAutospacing="0"/>
              <w:jc w:val="right"/>
              <w:rPr>
                <w:rFonts w:asciiTheme="minorEastAsia" w:eastAsiaTheme="minorEastAsia" w:hAnsiTheme="minorEastAsia"/>
                <w:sz w:val="21"/>
                <w:szCs w:val="21"/>
              </w:rPr>
            </w:pPr>
            <w:r w:rsidRPr="008A5890">
              <w:rPr>
                <w:rFonts w:asciiTheme="minorEastAsia" w:eastAsiaTheme="minorEastAsia" w:hAnsiTheme="minorEastAsia"/>
                <w:sz w:val="18"/>
                <w:szCs w:val="18"/>
              </w:rPr>
              <w:t>15,170,643.64</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8A5890" w:rsidRDefault="000D04B8">
            <w:pPr>
              <w:pStyle w:val="a3"/>
              <w:spacing w:before="0" w:beforeAutospacing="0" w:after="0" w:afterAutospacing="0"/>
              <w:jc w:val="right"/>
              <w:rPr>
                <w:rFonts w:asciiTheme="minorEastAsia" w:eastAsiaTheme="minorEastAsia" w:hAnsiTheme="minorEastAsia"/>
                <w:sz w:val="21"/>
                <w:szCs w:val="21"/>
              </w:rPr>
            </w:pPr>
            <w:r w:rsidRPr="008A5890">
              <w:rPr>
                <w:rFonts w:asciiTheme="minorEastAsia" w:eastAsiaTheme="minorEastAsia" w:hAnsiTheme="minorEastAsia"/>
                <w:sz w:val="18"/>
                <w:szCs w:val="18"/>
              </w:rPr>
              <w:t>144,644,605.74</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8A5890" w:rsidRDefault="000D04B8">
            <w:pPr>
              <w:pStyle w:val="a3"/>
              <w:spacing w:before="0" w:beforeAutospacing="0" w:after="0" w:afterAutospacing="0"/>
              <w:jc w:val="right"/>
              <w:rPr>
                <w:rFonts w:asciiTheme="minorEastAsia" w:eastAsiaTheme="minorEastAsia" w:hAnsiTheme="minorEastAsia"/>
                <w:sz w:val="21"/>
                <w:szCs w:val="21"/>
              </w:rPr>
            </w:pPr>
            <w:r w:rsidRPr="008A5890">
              <w:rPr>
                <w:rFonts w:asciiTheme="minorEastAsia" w:eastAsiaTheme="minorEastAsia" w:hAnsiTheme="minorEastAsia"/>
                <w:sz w:val="18"/>
                <w:szCs w:val="18"/>
              </w:rPr>
              <w:t>-89.51%</w:t>
            </w:r>
          </w:p>
        </w:tc>
        <w:tc>
          <w:tcPr>
            <w:tcW w:w="3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48D8" w:rsidRDefault="000D04B8">
            <w:pPr>
              <w:pStyle w:val="a3"/>
              <w:spacing w:before="0" w:beforeAutospacing="0" w:after="0" w:afterAutospacing="0"/>
              <w:rPr>
                <w:rFonts w:ascii="Arial Narrow" w:hAnsi="Arial Narrow"/>
                <w:sz w:val="21"/>
                <w:szCs w:val="21"/>
              </w:rPr>
            </w:pPr>
            <w:r>
              <w:rPr>
                <w:rFonts w:hint="eastAsia"/>
                <w:sz w:val="18"/>
                <w:szCs w:val="18"/>
              </w:rPr>
              <w:t>主要系筹资活动现金流入减少所致</w:t>
            </w:r>
          </w:p>
        </w:tc>
      </w:tr>
      <w:tr w:rsidR="000748D8">
        <w:trPr>
          <w:divId w:val="463503008"/>
          <w:trHeight w:val="264"/>
        </w:trPr>
        <w:tc>
          <w:tcPr>
            <w:tcW w:w="268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748D8" w:rsidRDefault="000D04B8">
            <w:pPr>
              <w:pStyle w:val="a3"/>
              <w:spacing w:before="0" w:beforeAutospacing="0" w:after="0" w:afterAutospacing="0"/>
              <w:rPr>
                <w:rFonts w:ascii="Arial Narrow" w:hAnsi="Arial Narrow"/>
                <w:sz w:val="21"/>
                <w:szCs w:val="21"/>
              </w:rPr>
            </w:pPr>
            <w:r>
              <w:rPr>
                <w:rFonts w:hint="eastAsia"/>
                <w:sz w:val="18"/>
                <w:szCs w:val="18"/>
              </w:rPr>
              <w:t>现金及现金等价物净增加额</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8A5890" w:rsidRDefault="000D04B8">
            <w:pPr>
              <w:pStyle w:val="a3"/>
              <w:spacing w:before="0" w:beforeAutospacing="0" w:after="0" w:afterAutospacing="0"/>
              <w:jc w:val="right"/>
              <w:rPr>
                <w:rFonts w:asciiTheme="minorEastAsia" w:eastAsiaTheme="minorEastAsia" w:hAnsiTheme="minorEastAsia"/>
                <w:sz w:val="21"/>
                <w:szCs w:val="21"/>
              </w:rPr>
            </w:pPr>
            <w:r w:rsidRPr="008A5890">
              <w:rPr>
                <w:rFonts w:asciiTheme="minorEastAsia" w:eastAsiaTheme="minorEastAsia" w:hAnsiTheme="minorEastAsia"/>
                <w:sz w:val="18"/>
                <w:szCs w:val="18"/>
              </w:rPr>
              <w:t>-48,047,359.68</w:t>
            </w:r>
          </w:p>
        </w:tc>
        <w:tc>
          <w:tcPr>
            <w:tcW w:w="141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8A5890" w:rsidRDefault="000D04B8">
            <w:pPr>
              <w:pStyle w:val="a3"/>
              <w:spacing w:before="0" w:beforeAutospacing="0" w:after="0" w:afterAutospacing="0"/>
              <w:jc w:val="right"/>
              <w:rPr>
                <w:rFonts w:asciiTheme="minorEastAsia" w:eastAsiaTheme="minorEastAsia" w:hAnsiTheme="minorEastAsia"/>
                <w:sz w:val="21"/>
                <w:szCs w:val="21"/>
              </w:rPr>
            </w:pPr>
            <w:r w:rsidRPr="008A5890">
              <w:rPr>
                <w:rFonts w:asciiTheme="minorEastAsia" w:eastAsiaTheme="minorEastAsia" w:hAnsiTheme="minorEastAsia"/>
                <w:sz w:val="18"/>
                <w:szCs w:val="18"/>
              </w:rPr>
              <w:t>-33,389,803.20</w:t>
            </w:r>
          </w:p>
        </w:tc>
        <w:tc>
          <w:tcPr>
            <w:tcW w:w="9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748D8" w:rsidRPr="008A5890" w:rsidRDefault="000D04B8">
            <w:pPr>
              <w:pStyle w:val="a3"/>
              <w:spacing w:before="0" w:beforeAutospacing="0" w:after="0" w:afterAutospacing="0"/>
              <w:jc w:val="right"/>
              <w:rPr>
                <w:rFonts w:asciiTheme="minorEastAsia" w:eastAsiaTheme="minorEastAsia" w:hAnsiTheme="minorEastAsia"/>
                <w:sz w:val="21"/>
                <w:szCs w:val="21"/>
              </w:rPr>
            </w:pPr>
            <w:r w:rsidRPr="008A5890">
              <w:rPr>
                <w:rFonts w:asciiTheme="minorEastAsia" w:eastAsiaTheme="minorEastAsia" w:hAnsiTheme="minorEastAsia"/>
                <w:sz w:val="18"/>
                <w:szCs w:val="18"/>
              </w:rPr>
              <w:t>-43.90%</w:t>
            </w:r>
          </w:p>
        </w:tc>
        <w:tc>
          <w:tcPr>
            <w:tcW w:w="32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748D8" w:rsidRDefault="000D04B8">
            <w:pPr>
              <w:pStyle w:val="a3"/>
              <w:spacing w:before="0" w:beforeAutospacing="0" w:after="0" w:afterAutospacing="0"/>
              <w:rPr>
                <w:rFonts w:ascii="Arial Narrow" w:hAnsi="Arial Narrow"/>
                <w:sz w:val="21"/>
                <w:szCs w:val="21"/>
              </w:rPr>
            </w:pPr>
            <w:r>
              <w:rPr>
                <w:rFonts w:hint="eastAsia"/>
                <w:sz w:val="18"/>
                <w:szCs w:val="18"/>
              </w:rPr>
              <w:t>主要系经营活动产生的现金流量净额及筹资活动产生的现金流量净额减少所致</w:t>
            </w:r>
          </w:p>
        </w:tc>
      </w:tr>
    </w:tbl>
    <w:p w:rsidR="000748D8" w:rsidRDefault="000748D8">
      <w:pPr>
        <w:divId w:val="463503008"/>
      </w:pPr>
    </w:p>
    <w:p w:rsidR="00EC6359" w:rsidRDefault="000D04B8">
      <w:pPr>
        <w:pStyle w:val="headingh1"/>
        <w:spacing w:before="300" w:after="300" w:line="320" w:lineRule="exact"/>
        <w:rPr>
          <w:rFonts w:ascii="宋体" w:eastAsia="宋体" w:hAnsi="宋体" w:cs="宋体"/>
          <w:b/>
          <w:bCs/>
          <w:sz w:val="24"/>
          <w:szCs w:val="24"/>
        </w:rPr>
      </w:pPr>
      <w:bookmarkStart w:id="4" w:name="_Toc988893"/>
      <w:r>
        <w:rPr>
          <w:rFonts w:ascii="宋体" w:eastAsia="宋体" w:hAnsi="宋体" w:cs="宋体"/>
          <w:b/>
          <w:bCs/>
          <w:sz w:val="24"/>
          <w:szCs w:val="24"/>
        </w:rPr>
        <w:t>二、股东信息</w:t>
      </w:r>
      <w:bookmarkEnd w:id="4"/>
    </w:p>
    <w:p w:rsidR="00EC6359" w:rsidRDefault="000D04B8">
      <w:pPr>
        <w:pStyle w:val="2"/>
        <w:spacing w:before="300" w:after="300" w:line="280" w:lineRule="exact"/>
        <w:rPr>
          <w:rFonts w:ascii="宋体" w:eastAsia="宋体" w:hAnsi="宋体" w:cs="宋体"/>
          <w:b/>
          <w:bCs/>
        </w:rPr>
      </w:pPr>
      <w:bookmarkStart w:id="5" w:name="_Toc988894"/>
      <w:r>
        <w:rPr>
          <w:rFonts w:ascii="宋体" w:eastAsia="宋体" w:hAnsi="宋体" w:cs="宋体"/>
          <w:b/>
          <w:bCs/>
        </w:rPr>
        <w:t>（一） 普通股股东总数和表决权恢复的优先股股东数量及前十名股东持股情况表</w:t>
      </w:r>
      <w:bookmarkEnd w:id="5"/>
    </w:p>
    <w:p w:rsidR="00EC6359" w:rsidRDefault="000D04B8">
      <w:pPr>
        <w:spacing w:before="40" w:after="40" w:line="240" w:lineRule="exact"/>
        <w:jc w:val="right"/>
        <w:rPr>
          <w:rFonts w:ascii="宋体" w:eastAsia="宋体" w:hAnsi="宋体" w:cs="宋体"/>
          <w:sz w:val="18"/>
          <w:szCs w:val="18"/>
        </w:rPr>
      </w:pPr>
      <w:r>
        <w:rPr>
          <w:rFonts w:ascii="宋体" w:eastAsia="宋体" w:hAnsi="宋体" w:cs="宋体"/>
          <w:sz w:val="18"/>
          <w:szCs w:val="18"/>
        </w:rPr>
        <w:t>单位：股</w:t>
      </w:r>
    </w:p>
    <w:tbl>
      <w:tblPr>
        <w:tblW w:w="9711"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377"/>
        <w:gridCol w:w="1377"/>
        <w:gridCol w:w="1287"/>
        <w:gridCol w:w="1418"/>
        <w:gridCol w:w="1417"/>
        <w:gridCol w:w="1383"/>
        <w:gridCol w:w="1452"/>
      </w:tblGrid>
      <w:tr w:rsidR="00EC6359" w:rsidTr="00892B06">
        <w:trPr>
          <w:trHeight w:val="240"/>
          <w:jc w:val="center"/>
        </w:trPr>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报告期末普通股股东总数</w:t>
            </w:r>
          </w:p>
        </w:tc>
        <w:tc>
          <w:tcPr>
            <w:tcW w:w="128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20,253</w:t>
            </w:r>
          </w:p>
        </w:tc>
        <w:tc>
          <w:tcPr>
            <w:tcW w:w="4218"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报告期末表决权恢复的优先股股东总数（如有）</w:t>
            </w:r>
          </w:p>
        </w:tc>
        <w:tc>
          <w:tcPr>
            <w:tcW w:w="1452"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w:t>
            </w:r>
          </w:p>
        </w:tc>
      </w:tr>
      <w:tr w:rsidR="00EC6359" w:rsidTr="00892B06">
        <w:trPr>
          <w:trHeight w:val="240"/>
          <w:jc w:val="center"/>
        </w:trPr>
        <w:tc>
          <w:tcPr>
            <w:tcW w:w="9711"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前10名股东持股情况</w:t>
            </w:r>
          </w:p>
        </w:tc>
      </w:tr>
      <w:tr w:rsidR="00EC6359" w:rsidTr="00892B06">
        <w:trPr>
          <w:trHeight w:val="240"/>
          <w:jc w:val="center"/>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股东名称</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股东性质</w:t>
            </w:r>
          </w:p>
        </w:tc>
        <w:tc>
          <w:tcPr>
            <w:tcW w:w="128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持股比例</w:t>
            </w:r>
          </w:p>
        </w:tc>
        <w:tc>
          <w:tcPr>
            <w:tcW w:w="141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持股数量</w:t>
            </w:r>
          </w:p>
        </w:tc>
        <w:tc>
          <w:tcPr>
            <w:tcW w:w="141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持有有限售条件的股份数量</w:t>
            </w:r>
          </w:p>
        </w:tc>
        <w:tc>
          <w:tcPr>
            <w:tcW w:w="2835"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质押、标记或冻结情况</w:t>
            </w:r>
          </w:p>
        </w:tc>
      </w:tr>
      <w:tr w:rsidR="00EC6359" w:rsidTr="00892B06">
        <w:trPr>
          <w:trHeight w:val="240"/>
          <w:jc w:val="center"/>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128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141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141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138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股份状态</w:t>
            </w:r>
          </w:p>
        </w:tc>
        <w:tc>
          <w:tcPr>
            <w:tcW w:w="1452"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数量</w:t>
            </w:r>
          </w:p>
        </w:tc>
      </w:tr>
      <w:tr w:rsidR="00EC6359" w:rsidTr="00892B06">
        <w:trPr>
          <w:trHeight w:val="240"/>
          <w:jc w:val="center"/>
        </w:trPr>
        <w:tc>
          <w:tcPr>
            <w:tcW w:w="137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天津兴津企业管理有限公司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国有法人</w:t>
            </w:r>
          </w:p>
        </w:tc>
        <w:tc>
          <w:tcPr>
            <w:tcW w:w="128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22.46%</w:t>
            </w:r>
          </w:p>
        </w:tc>
        <w:tc>
          <w:tcPr>
            <w:tcW w:w="1418"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79,200,321.00</w:t>
            </w:r>
          </w:p>
        </w:tc>
        <w:tc>
          <w:tcPr>
            <w:tcW w:w="141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38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rPr>
                <w:rFonts w:ascii="宋体" w:eastAsia="宋体" w:hAnsi="宋体" w:cs="宋体"/>
                <w:sz w:val="18"/>
                <w:szCs w:val="18"/>
              </w:rPr>
            </w:pPr>
          </w:p>
        </w:tc>
        <w:tc>
          <w:tcPr>
            <w:tcW w:w="1452"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rsidTr="00892B06">
        <w:trPr>
          <w:trHeight w:val="240"/>
          <w:jc w:val="center"/>
        </w:trPr>
        <w:tc>
          <w:tcPr>
            <w:tcW w:w="137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天津水务集团有限公司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国有法人</w:t>
            </w:r>
          </w:p>
        </w:tc>
        <w:tc>
          <w:tcPr>
            <w:tcW w:w="128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13.01%</w:t>
            </w:r>
          </w:p>
        </w:tc>
        <w:tc>
          <w:tcPr>
            <w:tcW w:w="1418"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45,868,731.00</w:t>
            </w:r>
          </w:p>
        </w:tc>
        <w:tc>
          <w:tcPr>
            <w:tcW w:w="141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38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rPr>
                <w:rFonts w:ascii="宋体" w:eastAsia="宋体" w:hAnsi="宋体" w:cs="宋体"/>
                <w:sz w:val="18"/>
                <w:szCs w:val="18"/>
              </w:rPr>
            </w:pPr>
          </w:p>
        </w:tc>
        <w:tc>
          <w:tcPr>
            <w:tcW w:w="1452"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BB53F7" w:rsidTr="00A03813">
        <w:trPr>
          <w:trHeight w:val="240"/>
          <w:jc w:val="center"/>
        </w:trPr>
        <w:tc>
          <w:tcPr>
            <w:tcW w:w="1377" w:type="dxa"/>
            <w:vMerge w:val="restart"/>
            <w:tcBorders>
              <w:top w:val="single" w:sz="2" w:space="0" w:color="auto"/>
              <w:left w:val="single" w:sz="2" w:space="0" w:color="auto"/>
              <w:right w:val="single" w:sz="2" w:space="0" w:color="auto"/>
            </w:tcBorders>
            <w:vAlign w:val="center"/>
          </w:tcPr>
          <w:p w:rsidR="00BB53F7" w:rsidRDefault="00BB53F7" w:rsidP="00CE5443">
            <w:pPr>
              <w:spacing w:line="240" w:lineRule="exact"/>
              <w:rPr>
                <w:rFonts w:ascii="宋体" w:eastAsia="宋体" w:hAnsi="宋体" w:cs="宋体"/>
                <w:sz w:val="18"/>
                <w:szCs w:val="18"/>
              </w:rPr>
            </w:pPr>
            <w:r>
              <w:rPr>
                <w:rFonts w:ascii="宋体" w:eastAsia="宋体" w:hAnsi="宋体" w:cs="宋体"/>
                <w:sz w:val="18"/>
                <w:szCs w:val="18"/>
              </w:rPr>
              <w:t>李华青</w:t>
            </w:r>
          </w:p>
        </w:tc>
        <w:tc>
          <w:tcPr>
            <w:tcW w:w="1377" w:type="dxa"/>
            <w:vMerge w:val="restart"/>
            <w:tcBorders>
              <w:top w:val="single" w:sz="2" w:space="0" w:color="auto"/>
              <w:left w:val="single" w:sz="2" w:space="0" w:color="auto"/>
              <w:right w:val="single" w:sz="2" w:space="0" w:color="auto"/>
            </w:tcBorders>
            <w:vAlign w:val="center"/>
          </w:tcPr>
          <w:p w:rsidR="00BB53F7" w:rsidRDefault="00BB53F7" w:rsidP="00EB008C">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287" w:type="dxa"/>
            <w:vMerge w:val="restart"/>
            <w:tcBorders>
              <w:top w:val="single" w:sz="2" w:space="0" w:color="auto"/>
              <w:left w:val="single" w:sz="2" w:space="0" w:color="auto"/>
              <w:right w:val="single" w:sz="2" w:space="0" w:color="auto"/>
            </w:tcBorders>
            <w:vAlign w:val="center"/>
          </w:tcPr>
          <w:p w:rsidR="00BB53F7" w:rsidRPr="004F3CD7" w:rsidRDefault="00BB53F7" w:rsidP="00BB53F7">
            <w:pPr>
              <w:spacing w:line="240" w:lineRule="exact"/>
              <w:jc w:val="right"/>
              <w:rPr>
                <w:rFonts w:ascii="宋体" w:eastAsia="宋体" w:hAnsi="宋体" w:cs="宋体"/>
                <w:sz w:val="18"/>
                <w:szCs w:val="18"/>
              </w:rPr>
            </w:pPr>
            <w:r w:rsidRPr="004F3CD7">
              <w:rPr>
                <w:rFonts w:ascii="宋体" w:eastAsia="宋体" w:hAnsi="宋体" w:cs="宋体"/>
                <w:sz w:val="18"/>
                <w:szCs w:val="18"/>
              </w:rPr>
              <w:t>5.68%</w:t>
            </w:r>
          </w:p>
        </w:tc>
        <w:tc>
          <w:tcPr>
            <w:tcW w:w="1418" w:type="dxa"/>
            <w:vMerge w:val="restart"/>
            <w:tcBorders>
              <w:top w:val="single" w:sz="2" w:space="0" w:color="auto"/>
              <w:left w:val="single" w:sz="2" w:space="0" w:color="auto"/>
              <w:right w:val="single" w:sz="2" w:space="0" w:color="auto"/>
            </w:tcBorders>
            <w:vAlign w:val="center"/>
          </w:tcPr>
          <w:p w:rsidR="00BB53F7" w:rsidRPr="004F3CD7" w:rsidRDefault="00BB53F7" w:rsidP="00BB53F7">
            <w:pPr>
              <w:spacing w:line="240" w:lineRule="exact"/>
              <w:jc w:val="right"/>
              <w:rPr>
                <w:rFonts w:ascii="宋体" w:eastAsia="宋体" w:hAnsi="宋体" w:cs="宋体"/>
                <w:sz w:val="18"/>
                <w:szCs w:val="18"/>
              </w:rPr>
            </w:pPr>
            <w:r w:rsidRPr="004F3CD7">
              <w:rPr>
                <w:rFonts w:ascii="宋体" w:eastAsia="宋体" w:hAnsi="宋体" w:cs="宋体"/>
                <w:sz w:val="18"/>
                <w:szCs w:val="18"/>
              </w:rPr>
              <w:t>20,019,883.00</w:t>
            </w:r>
          </w:p>
        </w:tc>
        <w:tc>
          <w:tcPr>
            <w:tcW w:w="1417" w:type="dxa"/>
            <w:vMerge w:val="restart"/>
            <w:tcBorders>
              <w:top w:val="single" w:sz="2" w:space="0" w:color="auto"/>
              <w:left w:val="single" w:sz="2" w:space="0" w:color="auto"/>
              <w:right w:val="single" w:sz="2" w:space="0" w:color="auto"/>
            </w:tcBorders>
            <w:vAlign w:val="center"/>
          </w:tcPr>
          <w:p w:rsidR="00BB53F7" w:rsidRPr="004F3CD7" w:rsidRDefault="00BB53F7" w:rsidP="00BB53F7">
            <w:pPr>
              <w:spacing w:line="240" w:lineRule="exact"/>
              <w:jc w:val="right"/>
              <w:rPr>
                <w:rFonts w:ascii="宋体" w:eastAsia="宋体" w:hAnsi="宋体" w:cs="宋体"/>
                <w:sz w:val="18"/>
                <w:szCs w:val="18"/>
              </w:rPr>
            </w:pPr>
            <w:r w:rsidRPr="004F3CD7">
              <w:rPr>
                <w:rFonts w:ascii="宋体" w:eastAsia="宋体" w:hAnsi="宋体" w:cs="宋体"/>
                <w:sz w:val="18"/>
                <w:szCs w:val="18"/>
              </w:rPr>
              <w:t>15,014,912.00</w:t>
            </w:r>
          </w:p>
        </w:tc>
        <w:tc>
          <w:tcPr>
            <w:tcW w:w="1383" w:type="dxa"/>
            <w:tcBorders>
              <w:top w:val="single" w:sz="2" w:space="0" w:color="auto"/>
              <w:left w:val="single" w:sz="2" w:space="0" w:color="auto"/>
              <w:bottom w:val="single" w:sz="2" w:space="0" w:color="auto"/>
              <w:right w:val="single" w:sz="2" w:space="0" w:color="auto"/>
            </w:tcBorders>
            <w:vAlign w:val="center"/>
          </w:tcPr>
          <w:p w:rsidR="00BB53F7" w:rsidRDefault="00BB53F7">
            <w:pPr>
              <w:spacing w:line="240" w:lineRule="exact"/>
              <w:rPr>
                <w:rFonts w:ascii="宋体" w:eastAsia="宋体" w:hAnsi="宋体" w:cs="宋体"/>
                <w:sz w:val="18"/>
                <w:szCs w:val="18"/>
              </w:rPr>
            </w:pPr>
            <w:r>
              <w:rPr>
                <w:rFonts w:ascii="宋体" w:eastAsia="宋体" w:hAnsi="宋体" w:cs="宋体"/>
                <w:sz w:val="18"/>
                <w:szCs w:val="18"/>
              </w:rPr>
              <w:t>质押</w:t>
            </w:r>
          </w:p>
        </w:tc>
        <w:tc>
          <w:tcPr>
            <w:tcW w:w="1452" w:type="dxa"/>
            <w:tcBorders>
              <w:top w:val="single" w:sz="2" w:space="0" w:color="auto"/>
              <w:left w:val="single" w:sz="2" w:space="0" w:color="auto"/>
              <w:bottom w:val="single" w:sz="2" w:space="0" w:color="auto"/>
              <w:right w:val="single" w:sz="2" w:space="0" w:color="auto"/>
            </w:tcBorders>
            <w:vAlign w:val="center"/>
          </w:tcPr>
          <w:p w:rsidR="00BB53F7" w:rsidRDefault="00BB53F7">
            <w:pPr>
              <w:spacing w:line="240" w:lineRule="exact"/>
              <w:jc w:val="right"/>
              <w:rPr>
                <w:rFonts w:ascii="宋体" w:eastAsia="宋体" w:hAnsi="宋体" w:cs="宋体"/>
                <w:sz w:val="18"/>
                <w:szCs w:val="18"/>
              </w:rPr>
            </w:pPr>
            <w:r>
              <w:rPr>
                <w:rFonts w:ascii="宋体" w:eastAsia="宋体" w:hAnsi="宋体" w:cs="宋体"/>
                <w:sz w:val="18"/>
                <w:szCs w:val="18"/>
              </w:rPr>
              <w:t>20,019,883.00</w:t>
            </w:r>
          </w:p>
        </w:tc>
      </w:tr>
      <w:tr w:rsidR="00BB53F7" w:rsidTr="00A03813">
        <w:trPr>
          <w:trHeight w:val="240"/>
          <w:jc w:val="center"/>
        </w:trPr>
        <w:tc>
          <w:tcPr>
            <w:tcW w:w="1377" w:type="dxa"/>
            <w:vMerge/>
            <w:tcBorders>
              <w:left w:val="single" w:sz="2" w:space="0" w:color="auto"/>
              <w:bottom w:val="single" w:sz="2" w:space="0" w:color="auto"/>
              <w:right w:val="single" w:sz="2" w:space="0" w:color="auto"/>
            </w:tcBorders>
            <w:vAlign w:val="center"/>
          </w:tcPr>
          <w:p w:rsidR="00BB53F7" w:rsidRDefault="00BB53F7">
            <w:pPr>
              <w:spacing w:line="240" w:lineRule="exact"/>
              <w:rPr>
                <w:rFonts w:ascii="宋体" w:eastAsia="宋体" w:hAnsi="宋体" w:cs="宋体"/>
                <w:sz w:val="18"/>
                <w:szCs w:val="18"/>
              </w:rPr>
            </w:pPr>
          </w:p>
        </w:tc>
        <w:tc>
          <w:tcPr>
            <w:tcW w:w="1377" w:type="dxa"/>
            <w:vMerge/>
            <w:tcBorders>
              <w:left w:val="single" w:sz="2" w:space="0" w:color="auto"/>
              <w:bottom w:val="single" w:sz="2" w:space="0" w:color="auto"/>
              <w:right w:val="single" w:sz="2" w:space="0" w:color="auto"/>
            </w:tcBorders>
            <w:vAlign w:val="center"/>
          </w:tcPr>
          <w:p w:rsidR="00BB53F7" w:rsidRDefault="00BB53F7">
            <w:pPr>
              <w:spacing w:line="240" w:lineRule="exact"/>
              <w:rPr>
                <w:rFonts w:ascii="宋体" w:eastAsia="宋体" w:hAnsi="宋体" w:cs="宋体"/>
                <w:sz w:val="18"/>
                <w:szCs w:val="18"/>
              </w:rPr>
            </w:pPr>
          </w:p>
        </w:tc>
        <w:tc>
          <w:tcPr>
            <w:tcW w:w="1287" w:type="dxa"/>
            <w:vMerge/>
            <w:tcBorders>
              <w:left w:val="single" w:sz="2" w:space="0" w:color="auto"/>
              <w:bottom w:val="single" w:sz="2" w:space="0" w:color="auto"/>
              <w:right w:val="single" w:sz="2" w:space="0" w:color="auto"/>
            </w:tcBorders>
            <w:vAlign w:val="center"/>
          </w:tcPr>
          <w:p w:rsidR="00BB53F7" w:rsidRDefault="00BB53F7">
            <w:pPr>
              <w:spacing w:line="240" w:lineRule="exact"/>
              <w:jc w:val="right"/>
              <w:rPr>
                <w:rFonts w:ascii="宋体" w:eastAsia="宋体" w:hAnsi="宋体" w:cs="宋体"/>
                <w:sz w:val="18"/>
                <w:szCs w:val="18"/>
              </w:rPr>
            </w:pPr>
          </w:p>
        </w:tc>
        <w:tc>
          <w:tcPr>
            <w:tcW w:w="1418" w:type="dxa"/>
            <w:vMerge/>
            <w:tcBorders>
              <w:left w:val="single" w:sz="2" w:space="0" w:color="auto"/>
              <w:bottom w:val="single" w:sz="2" w:space="0" w:color="auto"/>
              <w:right w:val="single" w:sz="2" w:space="0" w:color="auto"/>
            </w:tcBorders>
            <w:vAlign w:val="center"/>
          </w:tcPr>
          <w:p w:rsidR="00BB53F7" w:rsidRDefault="00BB53F7">
            <w:pPr>
              <w:spacing w:line="240" w:lineRule="exact"/>
              <w:jc w:val="right"/>
              <w:rPr>
                <w:rFonts w:ascii="宋体" w:eastAsia="宋体" w:hAnsi="宋体" w:cs="宋体"/>
                <w:sz w:val="18"/>
                <w:szCs w:val="18"/>
              </w:rPr>
            </w:pPr>
          </w:p>
        </w:tc>
        <w:tc>
          <w:tcPr>
            <w:tcW w:w="1417" w:type="dxa"/>
            <w:vMerge/>
            <w:tcBorders>
              <w:left w:val="single" w:sz="2" w:space="0" w:color="auto"/>
              <w:bottom w:val="single" w:sz="2" w:space="0" w:color="auto"/>
              <w:right w:val="single" w:sz="2" w:space="0" w:color="auto"/>
            </w:tcBorders>
            <w:vAlign w:val="center"/>
          </w:tcPr>
          <w:p w:rsidR="00BB53F7" w:rsidRDefault="00BB53F7">
            <w:pPr>
              <w:spacing w:line="240" w:lineRule="exact"/>
              <w:jc w:val="right"/>
              <w:rPr>
                <w:rFonts w:ascii="宋体" w:eastAsia="宋体" w:hAnsi="宋体" w:cs="宋体"/>
                <w:sz w:val="18"/>
                <w:szCs w:val="18"/>
              </w:rPr>
            </w:pPr>
          </w:p>
        </w:tc>
        <w:tc>
          <w:tcPr>
            <w:tcW w:w="1383" w:type="dxa"/>
            <w:tcBorders>
              <w:top w:val="single" w:sz="2" w:space="0" w:color="auto"/>
              <w:left w:val="single" w:sz="2" w:space="0" w:color="auto"/>
              <w:bottom w:val="single" w:sz="2" w:space="0" w:color="auto"/>
              <w:right w:val="single" w:sz="2" w:space="0" w:color="auto"/>
            </w:tcBorders>
            <w:vAlign w:val="center"/>
          </w:tcPr>
          <w:p w:rsidR="00BB53F7" w:rsidRDefault="00BB53F7">
            <w:pPr>
              <w:spacing w:line="240" w:lineRule="exact"/>
              <w:rPr>
                <w:rFonts w:ascii="宋体" w:eastAsia="宋体" w:hAnsi="宋体" w:cs="宋体"/>
                <w:sz w:val="18"/>
                <w:szCs w:val="18"/>
              </w:rPr>
            </w:pPr>
            <w:r>
              <w:rPr>
                <w:rFonts w:ascii="宋体" w:eastAsia="宋体" w:hAnsi="宋体" w:cs="宋体"/>
                <w:sz w:val="18"/>
                <w:szCs w:val="18"/>
              </w:rPr>
              <w:t>冻结</w:t>
            </w:r>
          </w:p>
        </w:tc>
        <w:tc>
          <w:tcPr>
            <w:tcW w:w="1452" w:type="dxa"/>
            <w:tcBorders>
              <w:top w:val="single" w:sz="2" w:space="0" w:color="auto"/>
              <w:left w:val="single" w:sz="2" w:space="0" w:color="auto"/>
              <w:bottom w:val="single" w:sz="2" w:space="0" w:color="auto"/>
              <w:right w:val="single" w:sz="2" w:space="0" w:color="auto"/>
            </w:tcBorders>
            <w:vAlign w:val="center"/>
          </w:tcPr>
          <w:p w:rsidR="00BB53F7" w:rsidRDefault="00BB53F7">
            <w:pPr>
              <w:spacing w:line="240" w:lineRule="exact"/>
              <w:jc w:val="right"/>
              <w:rPr>
                <w:rFonts w:ascii="宋体" w:eastAsia="宋体" w:hAnsi="宋体" w:cs="宋体"/>
                <w:sz w:val="18"/>
                <w:szCs w:val="18"/>
              </w:rPr>
            </w:pPr>
            <w:r>
              <w:rPr>
                <w:rFonts w:ascii="宋体" w:eastAsia="宋体" w:hAnsi="宋体" w:cs="宋体"/>
                <w:sz w:val="18"/>
                <w:szCs w:val="18"/>
              </w:rPr>
              <w:t>20,019,883.00</w:t>
            </w:r>
          </w:p>
        </w:tc>
      </w:tr>
      <w:tr w:rsidR="00EC6359" w:rsidTr="00892B06">
        <w:trPr>
          <w:trHeight w:val="240"/>
          <w:jc w:val="center"/>
        </w:trPr>
        <w:tc>
          <w:tcPr>
            <w:tcW w:w="137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天津市水利经济管理办公室</w:t>
            </w:r>
          </w:p>
        </w:tc>
        <w:tc>
          <w:tcPr>
            <w:tcW w:w="137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国有法人</w:t>
            </w:r>
          </w:p>
        </w:tc>
        <w:tc>
          <w:tcPr>
            <w:tcW w:w="128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4.82%</w:t>
            </w:r>
          </w:p>
        </w:tc>
        <w:tc>
          <w:tcPr>
            <w:tcW w:w="1418"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16,990</w:t>
            </w:r>
            <w:bookmarkStart w:id="6" w:name="_GoBack"/>
            <w:bookmarkEnd w:id="6"/>
            <w:r>
              <w:rPr>
                <w:rFonts w:ascii="宋体" w:eastAsia="宋体" w:hAnsi="宋体" w:cs="宋体"/>
                <w:sz w:val="18"/>
                <w:szCs w:val="18"/>
              </w:rPr>
              <w:t>,862.00</w:t>
            </w:r>
          </w:p>
        </w:tc>
        <w:tc>
          <w:tcPr>
            <w:tcW w:w="141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38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rPr>
                <w:rFonts w:ascii="宋体" w:eastAsia="宋体" w:hAnsi="宋体" w:cs="宋体"/>
                <w:sz w:val="18"/>
                <w:szCs w:val="18"/>
              </w:rPr>
            </w:pPr>
          </w:p>
        </w:tc>
        <w:tc>
          <w:tcPr>
            <w:tcW w:w="1452"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rsidTr="00892B06">
        <w:trPr>
          <w:trHeight w:val="240"/>
          <w:jc w:val="center"/>
        </w:trPr>
        <w:tc>
          <w:tcPr>
            <w:tcW w:w="137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石家庄合力投资咨询中心（有限合伙）</w:t>
            </w:r>
          </w:p>
        </w:tc>
        <w:tc>
          <w:tcPr>
            <w:tcW w:w="137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境内非国有法人</w:t>
            </w:r>
          </w:p>
        </w:tc>
        <w:tc>
          <w:tcPr>
            <w:tcW w:w="128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1.83%</w:t>
            </w:r>
          </w:p>
        </w:tc>
        <w:tc>
          <w:tcPr>
            <w:tcW w:w="1418"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6,444,444.00</w:t>
            </w:r>
          </w:p>
        </w:tc>
        <w:tc>
          <w:tcPr>
            <w:tcW w:w="141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38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rPr>
                <w:rFonts w:ascii="宋体" w:eastAsia="宋体" w:hAnsi="宋体" w:cs="宋体"/>
                <w:sz w:val="18"/>
                <w:szCs w:val="18"/>
              </w:rPr>
            </w:pPr>
          </w:p>
        </w:tc>
        <w:tc>
          <w:tcPr>
            <w:tcW w:w="1452"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rsidTr="00892B06">
        <w:trPr>
          <w:trHeight w:val="240"/>
          <w:jc w:val="center"/>
        </w:trPr>
        <w:tc>
          <w:tcPr>
            <w:tcW w:w="137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北京宏儒和愉投资管理有限公司-苏州弘德源投资管理中心（有限合伙）</w:t>
            </w:r>
          </w:p>
        </w:tc>
        <w:tc>
          <w:tcPr>
            <w:tcW w:w="137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其他</w:t>
            </w:r>
          </w:p>
        </w:tc>
        <w:tc>
          <w:tcPr>
            <w:tcW w:w="128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1.21%</w:t>
            </w:r>
          </w:p>
        </w:tc>
        <w:tc>
          <w:tcPr>
            <w:tcW w:w="1418"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4,278,500.00</w:t>
            </w:r>
          </w:p>
        </w:tc>
        <w:tc>
          <w:tcPr>
            <w:tcW w:w="141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38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rPr>
                <w:rFonts w:ascii="宋体" w:eastAsia="宋体" w:hAnsi="宋体" w:cs="宋体"/>
                <w:sz w:val="18"/>
                <w:szCs w:val="18"/>
              </w:rPr>
            </w:pPr>
          </w:p>
        </w:tc>
        <w:tc>
          <w:tcPr>
            <w:tcW w:w="1452"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rsidTr="00892B06">
        <w:trPr>
          <w:trHeight w:val="240"/>
          <w:jc w:val="center"/>
        </w:trPr>
        <w:tc>
          <w:tcPr>
            <w:tcW w:w="137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中信证券股份有限公司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国有法人</w:t>
            </w:r>
          </w:p>
        </w:tc>
        <w:tc>
          <w:tcPr>
            <w:tcW w:w="128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0.80%</w:t>
            </w:r>
          </w:p>
        </w:tc>
        <w:tc>
          <w:tcPr>
            <w:tcW w:w="1418"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2,816,645.00</w:t>
            </w:r>
          </w:p>
        </w:tc>
        <w:tc>
          <w:tcPr>
            <w:tcW w:w="141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38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rPr>
                <w:rFonts w:ascii="宋体" w:eastAsia="宋体" w:hAnsi="宋体" w:cs="宋体"/>
                <w:sz w:val="18"/>
                <w:szCs w:val="18"/>
              </w:rPr>
            </w:pPr>
          </w:p>
        </w:tc>
        <w:tc>
          <w:tcPr>
            <w:tcW w:w="1452"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rsidTr="00892B06">
        <w:trPr>
          <w:trHeight w:val="240"/>
          <w:jc w:val="center"/>
        </w:trPr>
        <w:tc>
          <w:tcPr>
            <w:tcW w:w="137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翟育豹</w:t>
            </w:r>
          </w:p>
        </w:tc>
        <w:tc>
          <w:tcPr>
            <w:tcW w:w="137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境内自然人</w:t>
            </w:r>
          </w:p>
        </w:tc>
        <w:tc>
          <w:tcPr>
            <w:tcW w:w="128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0.58%</w:t>
            </w:r>
          </w:p>
        </w:tc>
        <w:tc>
          <w:tcPr>
            <w:tcW w:w="1418"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2,044,400.00</w:t>
            </w:r>
          </w:p>
        </w:tc>
        <w:tc>
          <w:tcPr>
            <w:tcW w:w="141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38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rPr>
                <w:rFonts w:ascii="宋体" w:eastAsia="宋体" w:hAnsi="宋体" w:cs="宋体"/>
                <w:sz w:val="18"/>
                <w:szCs w:val="18"/>
              </w:rPr>
            </w:pPr>
          </w:p>
        </w:tc>
        <w:tc>
          <w:tcPr>
            <w:tcW w:w="1452"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rsidTr="00892B06">
        <w:trPr>
          <w:trHeight w:val="240"/>
          <w:jc w:val="center"/>
        </w:trPr>
        <w:tc>
          <w:tcPr>
            <w:tcW w:w="137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中国民生银行股份有限公司－金元顺安元启灵活配置混</w:t>
            </w:r>
            <w:r>
              <w:rPr>
                <w:rFonts w:ascii="宋体" w:eastAsia="宋体" w:hAnsi="宋体" w:cs="宋体"/>
                <w:sz w:val="18"/>
                <w:szCs w:val="18"/>
              </w:rPr>
              <w:lastRenderedPageBreak/>
              <w:t>合型证券投资基金</w:t>
            </w:r>
          </w:p>
        </w:tc>
        <w:tc>
          <w:tcPr>
            <w:tcW w:w="137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lastRenderedPageBreak/>
              <w:t>其他</w:t>
            </w:r>
          </w:p>
        </w:tc>
        <w:tc>
          <w:tcPr>
            <w:tcW w:w="128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0.56%</w:t>
            </w:r>
          </w:p>
        </w:tc>
        <w:tc>
          <w:tcPr>
            <w:tcW w:w="1418"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1,962,620.00</w:t>
            </w:r>
          </w:p>
        </w:tc>
        <w:tc>
          <w:tcPr>
            <w:tcW w:w="141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38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rPr>
                <w:rFonts w:ascii="宋体" w:eastAsia="宋体" w:hAnsi="宋体" w:cs="宋体"/>
                <w:sz w:val="18"/>
                <w:szCs w:val="18"/>
              </w:rPr>
            </w:pPr>
          </w:p>
        </w:tc>
        <w:tc>
          <w:tcPr>
            <w:tcW w:w="1452"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rsidTr="00892B06">
        <w:trPr>
          <w:trHeight w:val="240"/>
          <w:jc w:val="center"/>
        </w:trPr>
        <w:tc>
          <w:tcPr>
            <w:tcW w:w="137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中国国际金融香港资产管理有限公司－CICCFT10（R）</w:t>
            </w:r>
          </w:p>
        </w:tc>
        <w:tc>
          <w:tcPr>
            <w:tcW w:w="137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境外法人</w:t>
            </w:r>
          </w:p>
        </w:tc>
        <w:tc>
          <w:tcPr>
            <w:tcW w:w="128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0.50%</w:t>
            </w:r>
          </w:p>
        </w:tc>
        <w:tc>
          <w:tcPr>
            <w:tcW w:w="1418"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1,751,981.00</w:t>
            </w:r>
          </w:p>
        </w:tc>
        <w:tc>
          <w:tcPr>
            <w:tcW w:w="1417"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w:t>
            </w:r>
          </w:p>
        </w:tc>
        <w:tc>
          <w:tcPr>
            <w:tcW w:w="138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rPr>
                <w:rFonts w:ascii="宋体" w:eastAsia="宋体" w:hAnsi="宋体" w:cs="宋体"/>
                <w:sz w:val="18"/>
                <w:szCs w:val="18"/>
              </w:rPr>
            </w:pPr>
          </w:p>
        </w:tc>
        <w:tc>
          <w:tcPr>
            <w:tcW w:w="1452"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rsidTr="00892B06">
        <w:trPr>
          <w:trHeight w:val="240"/>
          <w:jc w:val="center"/>
        </w:trPr>
        <w:tc>
          <w:tcPr>
            <w:tcW w:w="9711"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前10名无限售条件股东持股情况</w:t>
            </w:r>
          </w:p>
        </w:tc>
      </w:tr>
      <w:tr w:rsidR="00EC6359" w:rsidTr="00892B06">
        <w:trPr>
          <w:trHeight w:val="240"/>
          <w:jc w:val="center"/>
        </w:trPr>
        <w:tc>
          <w:tcPr>
            <w:tcW w:w="2754" w:type="dxa"/>
            <w:gridSpan w:val="2"/>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股东名称</w:t>
            </w:r>
          </w:p>
        </w:tc>
        <w:tc>
          <w:tcPr>
            <w:tcW w:w="4122" w:type="dxa"/>
            <w:gridSpan w:val="3"/>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持有无限售条件股份数量</w:t>
            </w:r>
          </w:p>
        </w:tc>
        <w:tc>
          <w:tcPr>
            <w:tcW w:w="2835"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股份种类及数量</w:t>
            </w:r>
          </w:p>
        </w:tc>
      </w:tr>
      <w:tr w:rsidR="00EC6359" w:rsidTr="00892B06">
        <w:trPr>
          <w:trHeight w:val="240"/>
          <w:jc w:val="center"/>
        </w:trPr>
        <w:tc>
          <w:tcPr>
            <w:tcW w:w="2754" w:type="dxa"/>
            <w:gridSpan w:val="2"/>
            <w:vMerge/>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4122" w:type="dxa"/>
            <w:gridSpan w:val="3"/>
            <w:vMerge/>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138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股份种类</w:t>
            </w:r>
          </w:p>
        </w:tc>
        <w:tc>
          <w:tcPr>
            <w:tcW w:w="1452"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数量</w:t>
            </w:r>
          </w:p>
        </w:tc>
      </w:tr>
      <w:tr w:rsidR="00EC6359" w:rsidTr="00892B06">
        <w:trPr>
          <w:trHeight w:val="240"/>
          <w:jc w:val="center"/>
        </w:trPr>
        <w:tc>
          <w:tcPr>
            <w:tcW w:w="2754" w:type="dxa"/>
            <w:gridSpan w:val="2"/>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天津兴津企业管理有限公司</w:t>
            </w:r>
          </w:p>
        </w:tc>
        <w:tc>
          <w:tcPr>
            <w:tcW w:w="4122" w:type="dxa"/>
            <w:gridSpan w:val="3"/>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79,200,321.00</w:t>
            </w:r>
          </w:p>
        </w:tc>
        <w:tc>
          <w:tcPr>
            <w:tcW w:w="138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452"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79,200,321.00</w:t>
            </w:r>
          </w:p>
        </w:tc>
      </w:tr>
      <w:tr w:rsidR="00EC6359" w:rsidTr="00892B06">
        <w:trPr>
          <w:trHeight w:val="240"/>
          <w:jc w:val="center"/>
        </w:trPr>
        <w:tc>
          <w:tcPr>
            <w:tcW w:w="2754" w:type="dxa"/>
            <w:gridSpan w:val="2"/>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天津水务集团有限公司</w:t>
            </w:r>
          </w:p>
        </w:tc>
        <w:tc>
          <w:tcPr>
            <w:tcW w:w="4122" w:type="dxa"/>
            <w:gridSpan w:val="3"/>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45,868,731.00</w:t>
            </w:r>
          </w:p>
        </w:tc>
        <w:tc>
          <w:tcPr>
            <w:tcW w:w="138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452"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45,868,731.00</w:t>
            </w:r>
          </w:p>
        </w:tc>
      </w:tr>
      <w:tr w:rsidR="00EC6359" w:rsidTr="00892B06">
        <w:trPr>
          <w:trHeight w:val="240"/>
          <w:jc w:val="center"/>
        </w:trPr>
        <w:tc>
          <w:tcPr>
            <w:tcW w:w="2754" w:type="dxa"/>
            <w:gridSpan w:val="2"/>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天津市水利经济管理办公室</w:t>
            </w:r>
          </w:p>
        </w:tc>
        <w:tc>
          <w:tcPr>
            <w:tcW w:w="4122" w:type="dxa"/>
            <w:gridSpan w:val="3"/>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16,990,862.00</w:t>
            </w:r>
          </w:p>
        </w:tc>
        <w:tc>
          <w:tcPr>
            <w:tcW w:w="138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452"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16,990,862.00</w:t>
            </w:r>
          </w:p>
        </w:tc>
      </w:tr>
      <w:tr w:rsidR="00EC6359" w:rsidTr="00892B06">
        <w:trPr>
          <w:trHeight w:val="240"/>
          <w:jc w:val="center"/>
        </w:trPr>
        <w:tc>
          <w:tcPr>
            <w:tcW w:w="2754" w:type="dxa"/>
            <w:gridSpan w:val="2"/>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石家庄合力投资咨询中心（有限合伙）</w:t>
            </w:r>
          </w:p>
        </w:tc>
        <w:tc>
          <w:tcPr>
            <w:tcW w:w="4122" w:type="dxa"/>
            <w:gridSpan w:val="3"/>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6,444,444.00</w:t>
            </w:r>
          </w:p>
        </w:tc>
        <w:tc>
          <w:tcPr>
            <w:tcW w:w="138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452"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6,444,444.00</w:t>
            </w:r>
          </w:p>
        </w:tc>
      </w:tr>
      <w:tr w:rsidR="00EC6359" w:rsidTr="00892B06">
        <w:trPr>
          <w:trHeight w:val="240"/>
          <w:jc w:val="center"/>
        </w:trPr>
        <w:tc>
          <w:tcPr>
            <w:tcW w:w="2754" w:type="dxa"/>
            <w:gridSpan w:val="2"/>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李华青</w:t>
            </w:r>
          </w:p>
        </w:tc>
        <w:tc>
          <w:tcPr>
            <w:tcW w:w="4122" w:type="dxa"/>
            <w:gridSpan w:val="3"/>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5,004,971.00</w:t>
            </w:r>
          </w:p>
        </w:tc>
        <w:tc>
          <w:tcPr>
            <w:tcW w:w="138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452"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5,004,971.00</w:t>
            </w:r>
          </w:p>
        </w:tc>
      </w:tr>
      <w:tr w:rsidR="00EC6359" w:rsidTr="00892B06">
        <w:trPr>
          <w:trHeight w:val="240"/>
          <w:jc w:val="center"/>
        </w:trPr>
        <w:tc>
          <w:tcPr>
            <w:tcW w:w="2754" w:type="dxa"/>
            <w:gridSpan w:val="2"/>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北京宏儒和愉投资管理有限公司-苏州弘德源投资管理中心（有限合伙）</w:t>
            </w:r>
          </w:p>
        </w:tc>
        <w:tc>
          <w:tcPr>
            <w:tcW w:w="4122" w:type="dxa"/>
            <w:gridSpan w:val="3"/>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4,278,500.00</w:t>
            </w:r>
          </w:p>
        </w:tc>
        <w:tc>
          <w:tcPr>
            <w:tcW w:w="138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452"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4,278,500.00</w:t>
            </w:r>
          </w:p>
        </w:tc>
      </w:tr>
      <w:tr w:rsidR="00EC6359" w:rsidTr="00892B06">
        <w:trPr>
          <w:trHeight w:val="240"/>
          <w:jc w:val="center"/>
        </w:trPr>
        <w:tc>
          <w:tcPr>
            <w:tcW w:w="2754" w:type="dxa"/>
            <w:gridSpan w:val="2"/>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中信证券股份有限公司</w:t>
            </w:r>
          </w:p>
        </w:tc>
        <w:tc>
          <w:tcPr>
            <w:tcW w:w="4122" w:type="dxa"/>
            <w:gridSpan w:val="3"/>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2,816,645.00</w:t>
            </w:r>
          </w:p>
        </w:tc>
        <w:tc>
          <w:tcPr>
            <w:tcW w:w="138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452"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2,816,645.00</w:t>
            </w:r>
          </w:p>
        </w:tc>
      </w:tr>
      <w:tr w:rsidR="00EC6359" w:rsidTr="00892B06">
        <w:trPr>
          <w:trHeight w:val="240"/>
          <w:jc w:val="center"/>
        </w:trPr>
        <w:tc>
          <w:tcPr>
            <w:tcW w:w="2754" w:type="dxa"/>
            <w:gridSpan w:val="2"/>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翟育豹</w:t>
            </w:r>
          </w:p>
        </w:tc>
        <w:tc>
          <w:tcPr>
            <w:tcW w:w="4122" w:type="dxa"/>
            <w:gridSpan w:val="3"/>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2,044,400.00</w:t>
            </w:r>
          </w:p>
        </w:tc>
        <w:tc>
          <w:tcPr>
            <w:tcW w:w="138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452"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2,044,400.00</w:t>
            </w:r>
          </w:p>
        </w:tc>
      </w:tr>
      <w:tr w:rsidR="00EC6359" w:rsidTr="00892B06">
        <w:trPr>
          <w:trHeight w:val="240"/>
          <w:jc w:val="center"/>
        </w:trPr>
        <w:tc>
          <w:tcPr>
            <w:tcW w:w="2754" w:type="dxa"/>
            <w:gridSpan w:val="2"/>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中国民生银行股份有限公司－金元顺安元启灵活配置混合型证券投资基金</w:t>
            </w:r>
          </w:p>
        </w:tc>
        <w:tc>
          <w:tcPr>
            <w:tcW w:w="4122" w:type="dxa"/>
            <w:gridSpan w:val="3"/>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1,962,620.00</w:t>
            </w:r>
          </w:p>
        </w:tc>
        <w:tc>
          <w:tcPr>
            <w:tcW w:w="138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452"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1,962,620.00</w:t>
            </w:r>
          </w:p>
        </w:tc>
      </w:tr>
      <w:tr w:rsidR="00EC6359" w:rsidTr="00892B06">
        <w:trPr>
          <w:trHeight w:val="240"/>
          <w:jc w:val="center"/>
        </w:trPr>
        <w:tc>
          <w:tcPr>
            <w:tcW w:w="2754" w:type="dxa"/>
            <w:gridSpan w:val="2"/>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中国国际金融香港资产管理有限公司－CICCFT10（R）</w:t>
            </w:r>
          </w:p>
        </w:tc>
        <w:tc>
          <w:tcPr>
            <w:tcW w:w="4122" w:type="dxa"/>
            <w:gridSpan w:val="3"/>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1,751,981.00</w:t>
            </w:r>
          </w:p>
        </w:tc>
        <w:tc>
          <w:tcPr>
            <w:tcW w:w="138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人民币普通股</w:t>
            </w:r>
          </w:p>
        </w:tc>
        <w:tc>
          <w:tcPr>
            <w:tcW w:w="1452"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1,751,981.00</w:t>
            </w:r>
          </w:p>
        </w:tc>
      </w:tr>
      <w:tr w:rsidR="00EC6359" w:rsidTr="00892B06">
        <w:trPr>
          <w:trHeight w:val="240"/>
          <w:jc w:val="center"/>
        </w:trPr>
        <w:tc>
          <w:tcPr>
            <w:tcW w:w="404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上述股东关联关系或一致行动的说明</w:t>
            </w:r>
          </w:p>
        </w:tc>
        <w:tc>
          <w:tcPr>
            <w:tcW w:w="5670" w:type="dxa"/>
            <w:gridSpan w:val="4"/>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兴津公司与水务集团为一致行动人，与其他股东不属于一致行动人。李华青与石家庄合力为一致行动人，与其他股东不属于一致行动人。本公司未知其他股东之间是否存在关联关系，也未知其他股东是否属于一致行动人。</w:t>
            </w:r>
          </w:p>
        </w:tc>
      </w:tr>
      <w:tr w:rsidR="00EC6359" w:rsidTr="00892B06">
        <w:trPr>
          <w:trHeight w:val="240"/>
          <w:jc w:val="center"/>
        </w:trPr>
        <w:tc>
          <w:tcPr>
            <w:tcW w:w="404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前10名股东参与融资融券业务情况说明（如有）</w:t>
            </w:r>
          </w:p>
        </w:tc>
        <w:tc>
          <w:tcPr>
            <w:tcW w:w="5670" w:type="dxa"/>
            <w:gridSpan w:val="4"/>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无</w:t>
            </w:r>
          </w:p>
        </w:tc>
      </w:tr>
    </w:tbl>
    <w:p w:rsidR="00EC6359" w:rsidRDefault="000D04B8">
      <w:pPr>
        <w:pStyle w:val="2"/>
        <w:spacing w:before="300" w:after="300" w:line="280" w:lineRule="exact"/>
        <w:rPr>
          <w:rFonts w:ascii="宋体" w:eastAsia="宋体" w:hAnsi="宋体" w:cs="宋体"/>
          <w:b/>
          <w:bCs/>
        </w:rPr>
      </w:pPr>
      <w:bookmarkStart w:id="7" w:name="_Toc988895"/>
      <w:r>
        <w:rPr>
          <w:rFonts w:ascii="宋体" w:eastAsia="宋体" w:hAnsi="宋体" w:cs="宋体"/>
          <w:b/>
          <w:bCs/>
        </w:rPr>
        <w:t>（二） 公司优先股股东总数及前10名优先股股东持股情况表</w:t>
      </w:r>
      <w:bookmarkEnd w:id="7"/>
    </w:p>
    <w:p w:rsidR="00EC6359" w:rsidRDefault="000D04B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EC6359" w:rsidRDefault="000D04B8">
      <w:pPr>
        <w:pStyle w:val="headingh1"/>
        <w:spacing w:before="300" w:after="300" w:line="320" w:lineRule="exact"/>
        <w:rPr>
          <w:rFonts w:ascii="宋体" w:eastAsia="宋体" w:hAnsi="宋体" w:cs="宋体"/>
          <w:b/>
          <w:bCs/>
          <w:sz w:val="24"/>
          <w:szCs w:val="24"/>
        </w:rPr>
      </w:pPr>
      <w:bookmarkStart w:id="8" w:name="_Toc988896"/>
      <w:r>
        <w:rPr>
          <w:rFonts w:ascii="宋体" w:eastAsia="宋体" w:hAnsi="宋体" w:cs="宋体"/>
          <w:b/>
          <w:bCs/>
          <w:sz w:val="24"/>
          <w:szCs w:val="24"/>
        </w:rPr>
        <w:t>三、其他重要事项</w:t>
      </w:r>
      <w:bookmarkEnd w:id="8"/>
    </w:p>
    <w:p w:rsidR="00EC6359" w:rsidRDefault="000D04B8">
      <w:pPr>
        <w:spacing w:before="100" w:after="100" w:line="240" w:lineRule="exact"/>
        <w:rPr>
          <w:rFonts w:ascii="宋体" w:eastAsia="宋体" w:hAnsi="宋体" w:cs="宋体"/>
          <w:sz w:val="18"/>
          <w:szCs w:val="18"/>
        </w:rPr>
      </w:pPr>
      <w:r>
        <w:rPr>
          <w:rFonts w:ascii="宋体" w:eastAsia="宋体" w:hAnsi="宋体" w:cs="宋体"/>
          <w:sz w:val="18"/>
          <w:szCs w:val="18"/>
        </w:rPr>
        <w:t xml:space="preserve">□适用 </w:t>
      </w:r>
      <w:r>
        <w:rPr>
          <w:rFonts w:ascii="宋体" w:eastAsia="宋体" w:hAnsi="宋体" w:cs="宋体"/>
          <w:sz w:val="18"/>
          <w:szCs w:val="18"/>
        </w:rPr>
        <w:sym w:font="Wingdings 2" w:char="F052"/>
      </w:r>
      <w:r>
        <w:rPr>
          <w:rFonts w:ascii="宋体" w:eastAsia="宋体" w:hAnsi="宋体" w:cs="宋体"/>
          <w:sz w:val="18"/>
          <w:szCs w:val="18"/>
        </w:rPr>
        <w:t>不适用</w:t>
      </w:r>
    </w:p>
    <w:p w:rsidR="00EC6359" w:rsidRDefault="000D04B8">
      <w:pPr>
        <w:pStyle w:val="headingh1"/>
        <w:spacing w:before="300" w:after="300" w:line="320" w:lineRule="exact"/>
        <w:rPr>
          <w:rFonts w:ascii="宋体" w:eastAsia="宋体" w:hAnsi="宋体" w:cs="宋体"/>
          <w:b/>
          <w:bCs/>
          <w:sz w:val="24"/>
          <w:szCs w:val="24"/>
        </w:rPr>
      </w:pPr>
      <w:bookmarkStart w:id="9" w:name="_Toc988897"/>
      <w:r>
        <w:rPr>
          <w:rFonts w:ascii="宋体" w:eastAsia="宋体" w:hAnsi="宋体" w:cs="宋体"/>
          <w:b/>
          <w:bCs/>
          <w:sz w:val="24"/>
          <w:szCs w:val="24"/>
        </w:rPr>
        <w:t>四、季度财务报表</w:t>
      </w:r>
      <w:bookmarkEnd w:id="9"/>
    </w:p>
    <w:p w:rsidR="00EC6359" w:rsidRDefault="000D04B8">
      <w:pPr>
        <w:pStyle w:val="2"/>
        <w:spacing w:before="300" w:after="300" w:line="280" w:lineRule="exact"/>
        <w:rPr>
          <w:rFonts w:ascii="宋体" w:eastAsia="宋体" w:hAnsi="宋体" w:cs="宋体"/>
          <w:b/>
          <w:bCs/>
        </w:rPr>
      </w:pPr>
      <w:bookmarkStart w:id="10" w:name="_Toc988898"/>
      <w:r>
        <w:rPr>
          <w:rFonts w:ascii="宋体" w:eastAsia="宋体" w:hAnsi="宋体" w:cs="宋体"/>
          <w:b/>
          <w:bCs/>
        </w:rPr>
        <w:t>（一） 财务报表</w:t>
      </w:r>
      <w:bookmarkEnd w:id="10"/>
    </w:p>
    <w:p w:rsidR="00EC6359" w:rsidRDefault="000D04B8">
      <w:pPr>
        <w:pStyle w:val="3"/>
        <w:spacing w:line="280" w:lineRule="exact"/>
        <w:jc w:val="left"/>
        <w:rPr>
          <w:rFonts w:ascii="宋体" w:hAnsi="宋体" w:cs="宋体"/>
          <w:b/>
          <w:bCs/>
        </w:rPr>
      </w:pPr>
      <w:bookmarkStart w:id="11" w:name="_Toc988899"/>
      <w:r>
        <w:rPr>
          <w:rFonts w:ascii="宋体" w:hAnsi="宋体" w:cs="宋体"/>
          <w:b/>
          <w:bCs/>
        </w:rPr>
        <w:t>1、合并资产负债表</w:t>
      </w:r>
      <w:bookmarkEnd w:id="11"/>
    </w:p>
    <w:p w:rsidR="00EC6359" w:rsidRDefault="000D04B8">
      <w:pPr>
        <w:spacing w:line="240" w:lineRule="exact"/>
        <w:rPr>
          <w:rFonts w:ascii="宋体" w:eastAsia="宋体" w:hAnsi="宋体" w:cs="宋体"/>
          <w:sz w:val="18"/>
          <w:szCs w:val="18"/>
        </w:rPr>
      </w:pPr>
      <w:r>
        <w:rPr>
          <w:rFonts w:ascii="宋体" w:eastAsia="宋体" w:hAnsi="宋体" w:cs="宋体"/>
          <w:sz w:val="18"/>
          <w:szCs w:val="18"/>
        </w:rPr>
        <w:t>编制单位：渤海水业股份有限公司</w:t>
      </w:r>
    </w:p>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2023年09月30日</w:t>
      </w:r>
    </w:p>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2023年9月30日</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2023年1月1日</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货币资金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344,469,666.66</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486,683,894.30</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结算备付金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拆出资金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交易性金融资产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衍生金融资产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应收票据</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7,020,550.96</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53,875,672.67</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应收账款</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957,552,957.41</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872,292,062.14</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应收款项融资</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14,755.20</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预付款项</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54,084,729.76</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144,197,124.84</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应收保费</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应收分保账款</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应收分保合同准备金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33,693,587.93</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17,712,816.64</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其中：应收利息</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500" w:firstLine="900"/>
              <w:rPr>
                <w:rFonts w:ascii="宋体" w:eastAsia="宋体" w:hAnsi="宋体" w:cs="宋体"/>
                <w:sz w:val="18"/>
                <w:szCs w:val="18"/>
              </w:rPr>
            </w:pPr>
            <w:r>
              <w:rPr>
                <w:rFonts w:ascii="宋体" w:eastAsia="宋体" w:hAnsi="宋体" w:cs="宋体"/>
                <w:sz w:val="18"/>
                <w:szCs w:val="18"/>
              </w:rPr>
              <w:t>应收股利</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买入返售金融资产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存货</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143,608,853.03</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151,929,027.98</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合同资产</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690,763,033.98</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699,342,326.94</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持有待售资产</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一年内到期的非流动资产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123,526,766.49</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98,940,538.49</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84,485,075.45</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83,863,594.47</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流动资产合计</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2,439,205,221.67</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2,608,851,813.67</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非流动资产：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发放贷款和垫款</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债权投资</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其他债权投资</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长期应收款</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736,750,737.10</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757,746,229.97</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长期股权投资</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991,701,950.46</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972,829,807.02</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其他权益工具投资</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17,875,487.23</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17,875,487.23</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其他非流动金融资产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投资性房地产</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2,177,321,982.31</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2,283,919,906.69</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在建工程</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569,870,583.71</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498,790,234.85</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生产性生物资产</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油气资产</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使用权资产</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82,666,998.18</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106,640,068.42</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无形资产</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481,370,789.54</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481,345,012.79</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开发支出</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商誉</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151,666,449.40</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151,666,449.40</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长期待摊费用</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86,261,665.08</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101,624,204.05</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递延所得税资产</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100,317,918.54</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110,936,250.71</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其他非流动资产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12,330,033.22</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12,908,078.22</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非流动资产合计</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5,408,134,594.77</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5,496,281,729.35</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资产总计</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7,847,339,816.44</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8,105,133,543.02</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短期借款</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1,232,812,594.00</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1,502,523,796.04</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向中央银行借款</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拆入资金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交易性金融负债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衍生金融负债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应付票据</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220,000,000.00</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365,994,406.25</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应付账款</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768,298,522.26</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817,733,082.95</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预收款项</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合同负债</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97,435,826.12</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305,961,757.67</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卖出回购金融资产款</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吸收存款及同业存放</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代理买卖证券款</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代理承销证券款</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应付职工薪酬</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2,828,857.29</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4,601,550.49</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应交税费</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25,357,889.17</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28,826,162.45</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其他应付款</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278,191,227.97</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286,913,132.68</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其中：应付利息</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500" w:firstLine="900"/>
              <w:rPr>
                <w:rFonts w:ascii="宋体" w:eastAsia="宋体" w:hAnsi="宋体" w:cs="宋体"/>
                <w:sz w:val="18"/>
                <w:szCs w:val="18"/>
              </w:rPr>
            </w:pPr>
            <w:r>
              <w:rPr>
                <w:rFonts w:ascii="宋体" w:eastAsia="宋体" w:hAnsi="宋体" w:cs="宋体"/>
                <w:sz w:val="18"/>
                <w:szCs w:val="18"/>
              </w:rPr>
              <w:t>应付股利</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5,620,164.21</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531,522.61</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应付手续费及佣金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应付分保账款</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持有待售负债</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一年内到期的非流动负债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319,177,688.56</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273,814,383.01</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67,527,147.96</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147,266,100.35</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流动负债合计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3,011,629,753.33</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3,733,634,371.89</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非流动负债：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保险合同准备金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长期借款</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1,061,506,487.16</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660,639,225.76</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应付债券</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租赁负债</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81,111,476.52</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102,484,288.79</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长期应付款</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472,603,708.31</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341,969,218.86</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长期应付职工薪酬</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预计负债</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递延收益</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570,386,793.54</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612,595,427.94</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递延所得税负债</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22,095,651.18</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27,859,265.93</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其他非流动负债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非流动负债合计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2,207,704,116.71</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1,745,547,427.28</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5,219,333,870.04</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5,479,181,799.17</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所有者权益：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股本</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352,658,600.00</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352,658,600.00</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其他权益工具</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500" w:firstLine="900"/>
              <w:rPr>
                <w:rFonts w:ascii="宋体" w:eastAsia="宋体" w:hAnsi="宋体" w:cs="宋体"/>
                <w:sz w:val="18"/>
                <w:szCs w:val="18"/>
              </w:rPr>
            </w:pPr>
            <w:r>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资本公积</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1,089,175,693.15</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1,090,265,046.41</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减：库存股</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专项储备</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盈余公积</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65,967,506.12</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65,967,506.12</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一般风险准备</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未分配利润</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597,410,485.62</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594,429,994.82</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归属于母公司所有者权益合计</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2,105,212,284.89</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2,103,321,147.35</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少数股东权益</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522,793,661.51</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522,630,596.50</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所有者权益合计</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2,628,005,946.40</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2,625,951,743.85</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负债和所有者权益总计</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7,847,339,816.44</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8,105,133,543.02</w:t>
            </w:r>
          </w:p>
        </w:tc>
      </w:tr>
    </w:tbl>
    <w:p w:rsidR="00EC6359" w:rsidRDefault="000D04B8">
      <w:pPr>
        <w:spacing w:line="240" w:lineRule="exact"/>
        <w:rPr>
          <w:rFonts w:ascii="宋体" w:eastAsia="宋体" w:hAnsi="宋体" w:cs="宋体"/>
          <w:sz w:val="18"/>
          <w:szCs w:val="18"/>
        </w:rPr>
      </w:pPr>
      <w:r>
        <w:rPr>
          <w:rFonts w:ascii="宋体" w:eastAsia="宋体" w:hAnsi="宋体" w:cs="宋体"/>
          <w:sz w:val="18"/>
          <w:szCs w:val="18"/>
        </w:rPr>
        <w:t>法定代表人：王新玲    主管会计工作负责人：于志民      会计机构负责人：靳德柱</w:t>
      </w:r>
    </w:p>
    <w:p w:rsidR="00EC6359" w:rsidRDefault="000D04B8">
      <w:pPr>
        <w:pStyle w:val="3"/>
        <w:spacing w:line="280" w:lineRule="exact"/>
        <w:jc w:val="left"/>
        <w:rPr>
          <w:rFonts w:ascii="宋体" w:hAnsi="宋体" w:cs="宋体"/>
          <w:b/>
          <w:bCs/>
        </w:rPr>
      </w:pPr>
      <w:bookmarkStart w:id="12" w:name="_Toc988900"/>
      <w:r>
        <w:rPr>
          <w:rFonts w:ascii="宋体" w:hAnsi="宋体" w:cs="宋体"/>
          <w:b/>
          <w:bCs/>
        </w:rPr>
        <w:t>2、合并年初到报告期末利润表</w:t>
      </w:r>
      <w:bookmarkEnd w:id="12"/>
    </w:p>
    <w:p w:rsidR="00EC6359" w:rsidRDefault="000D04B8">
      <w:pPr>
        <w:spacing w:before="40" w:after="40"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一、营业总收入</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1,190,244,484.01</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1,172,117,903.60</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其中：营业收入</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1,190,244,484.01</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1,172,117,903.60</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400" w:firstLine="720"/>
              <w:rPr>
                <w:rFonts w:ascii="宋体" w:eastAsia="宋体" w:hAnsi="宋体" w:cs="宋体"/>
                <w:sz w:val="18"/>
                <w:szCs w:val="18"/>
              </w:rPr>
            </w:pPr>
            <w:r>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400" w:firstLine="720"/>
              <w:rPr>
                <w:rFonts w:ascii="宋体" w:eastAsia="宋体" w:hAnsi="宋体" w:cs="宋体"/>
                <w:sz w:val="18"/>
                <w:szCs w:val="18"/>
              </w:rPr>
            </w:pPr>
            <w:r>
              <w:rPr>
                <w:rFonts w:ascii="宋体" w:eastAsia="宋体" w:hAnsi="宋体" w:cs="宋体"/>
                <w:sz w:val="18"/>
                <w:szCs w:val="18"/>
              </w:rPr>
              <w:t>已赚保费</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400" w:firstLine="720"/>
              <w:rPr>
                <w:rFonts w:ascii="宋体" w:eastAsia="宋体" w:hAnsi="宋体" w:cs="宋体"/>
                <w:sz w:val="18"/>
                <w:szCs w:val="18"/>
              </w:rPr>
            </w:pPr>
            <w:r>
              <w:rPr>
                <w:rFonts w:ascii="宋体" w:eastAsia="宋体" w:hAnsi="宋体" w:cs="宋体"/>
                <w:sz w:val="18"/>
                <w:szCs w:val="18"/>
              </w:rPr>
              <w:t>手续费及佣金收入</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rPr>
                <w:rFonts w:ascii="宋体" w:eastAsia="宋体" w:hAnsi="宋体" w:cs="宋体"/>
                <w:sz w:val="18"/>
                <w:szCs w:val="18"/>
              </w:rPr>
            </w:pPr>
            <w:r>
              <w:rPr>
                <w:rFonts w:ascii="宋体" w:eastAsia="宋体" w:hAnsi="宋体" w:cs="宋体"/>
                <w:sz w:val="18"/>
                <w:szCs w:val="18"/>
              </w:rPr>
              <w:t>二、营业总成本</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1,183,194,351.61</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1,178,621,239.06</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其中：营业成本</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923,619,454.99</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914,010,218.05</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lastRenderedPageBreak/>
              <w:t>利息支出</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手续费及佣金支出</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退保金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赔付支出净额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提取保险责任准备金净额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保单红利支出</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分保费用</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400" w:firstLine="720"/>
              <w:rPr>
                <w:rFonts w:ascii="宋体" w:eastAsia="宋体" w:hAnsi="宋体" w:cs="宋体"/>
                <w:sz w:val="18"/>
                <w:szCs w:val="18"/>
              </w:rPr>
            </w:pPr>
            <w:r>
              <w:rPr>
                <w:rFonts w:ascii="宋体" w:eastAsia="宋体" w:hAnsi="宋体" w:cs="宋体"/>
                <w:sz w:val="18"/>
                <w:szCs w:val="18"/>
              </w:rPr>
              <w:t>税金及附加</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50,994,442.71</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49,767,768.53</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销售费用</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10,626,998.28</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13,209,024.40</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管理费用</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111,465,017.24</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114,324,890.39</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研发费用</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7,891,227.46</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6,947,809.01</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400" w:firstLine="720"/>
              <w:rPr>
                <w:rFonts w:ascii="宋体" w:eastAsia="宋体" w:hAnsi="宋体" w:cs="宋体"/>
                <w:sz w:val="18"/>
                <w:szCs w:val="18"/>
              </w:rPr>
            </w:pPr>
            <w:r>
              <w:rPr>
                <w:rFonts w:ascii="宋体" w:eastAsia="宋体" w:hAnsi="宋体" w:cs="宋体"/>
                <w:sz w:val="18"/>
                <w:szCs w:val="18"/>
              </w:rPr>
              <w:t>财务费用</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78,597,210.93</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80,361,528.68</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其中：利息费用</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96,721,695.61</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92,836,174.57</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800" w:firstLine="1440"/>
              <w:rPr>
                <w:rFonts w:ascii="宋体" w:eastAsia="宋体" w:hAnsi="宋体" w:cs="宋体"/>
                <w:sz w:val="18"/>
                <w:szCs w:val="18"/>
              </w:rPr>
            </w:pPr>
            <w:r>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28,739,181.38</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26,205,577.11</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加：其他收益</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18,546,724.80</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16,311,713.80</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投资收益（损失以“－”号填列）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18,846,588.51</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26,930,021.08</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500" w:firstLine="900"/>
              <w:rPr>
                <w:rFonts w:ascii="宋体" w:eastAsia="宋体" w:hAnsi="宋体" w:cs="宋体"/>
                <w:sz w:val="18"/>
                <w:szCs w:val="18"/>
              </w:rPr>
            </w:pPr>
            <w:r>
              <w:rPr>
                <w:rFonts w:ascii="宋体" w:eastAsia="宋体" w:hAnsi="宋体" w:cs="宋体"/>
                <w:sz w:val="18"/>
                <w:szCs w:val="18"/>
              </w:rPr>
              <w:t>其中：对联营企业和合营企业的投资收益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18,846,588.51</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26,930,021.08</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800" w:firstLine="1440"/>
              <w:rPr>
                <w:rFonts w:ascii="宋体" w:eastAsia="宋体" w:hAnsi="宋体" w:cs="宋体"/>
                <w:sz w:val="18"/>
                <w:szCs w:val="18"/>
              </w:rPr>
            </w:pPr>
            <w:r>
              <w:rPr>
                <w:rFonts w:ascii="宋体" w:eastAsia="宋体" w:hAnsi="宋体" w:cs="宋体"/>
                <w:sz w:val="18"/>
                <w:szCs w:val="18"/>
              </w:rPr>
              <w:t>以摊余成本计量的金融资产终止确认收益</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汇兑收益（损失以“-”号填列）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净敞口套期收益（损失以“－”号填列）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300" w:firstLine="540"/>
              <w:rPr>
                <w:rFonts w:ascii="宋体" w:eastAsia="宋体" w:hAnsi="宋体" w:cs="宋体"/>
                <w:sz w:val="18"/>
                <w:szCs w:val="18"/>
              </w:rPr>
            </w:pPr>
            <w:r>
              <w:rPr>
                <w:rFonts w:ascii="宋体" w:eastAsia="宋体" w:hAnsi="宋体" w:cs="宋体"/>
                <w:sz w:val="18"/>
                <w:szCs w:val="18"/>
              </w:rPr>
              <w:t>公允价值变动收益（损失以“－”号填列）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300" w:firstLine="540"/>
              <w:rPr>
                <w:rFonts w:ascii="宋体" w:eastAsia="宋体" w:hAnsi="宋体" w:cs="宋体"/>
                <w:sz w:val="18"/>
                <w:szCs w:val="18"/>
              </w:rPr>
            </w:pPr>
            <w:r>
              <w:rPr>
                <w:rFonts w:ascii="宋体" w:eastAsia="宋体" w:hAnsi="宋体" w:cs="宋体"/>
                <w:sz w:val="18"/>
                <w:szCs w:val="18"/>
              </w:rPr>
              <w:t>信用减值损失（损失以“-”号填列）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-12,076,803.64</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-11,275,362.45</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300" w:firstLine="540"/>
              <w:rPr>
                <w:rFonts w:ascii="宋体" w:eastAsia="宋体" w:hAnsi="宋体" w:cs="宋体"/>
                <w:sz w:val="18"/>
                <w:szCs w:val="18"/>
              </w:rPr>
            </w:pPr>
            <w:r>
              <w:rPr>
                <w:rFonts w:ascii="宋体" w:eastAsia="宋体" w:hAnsi="宋体" w:cs="宋体"/>
                <w:sz w:val="18"/>
                <w:szCs w:val="18"/>
              </w:rPr>
              <w:t>资产减值损失（损失以“-”号填列）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300" w:firstLine="540"/>
              <w:rPr>
                <w:rFonts w:ascii="宋体" w:eastAsia="宋体" w:hAnsi="宋体" w:cs="宋体"/>
                <w:sz w:val="18"/>
                <w:szCs w:val="18"/>
              </w:rPr>
            </w:pPr>
            <w:r>
              <w:rPr>
                <w:rFonts w:ascii="宋体" w:eastAsia="宋体" w:hAnsi="宋体" w:cs="宋体"/>
                <w:sz w:val="18"/>
                <w:szCs w:val="18"/>
              </w:rPr>
              <w:t>资产处置收益（损失以“-”号填列）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1,052,742.03</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126,467.24</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三、营业利润（亏损以“－”号填列）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33,419,384.10</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25,589,504.21</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加：营业外收入</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896,683.43</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1,209,489.17</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减：营业外支出</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2,317,883.48</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969,014.47</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四、利润总额（亏损总额以“－”号填列）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31,998,184.05</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25,829,978.91</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减：所得税费用</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12,900,689.72</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8,860,410.06</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五、净利润（净亏损以“－”号填列）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19,097,494.33</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16,969,568.85</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（一）按经营持续性分类</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200" w:firstLine="360"/>
              <w:rPr>
                <w:rFonts w:ascii="宋体" w:eastAsia="宋体" w:hAnsi="宋体" w:cs="宋体"/>
                <w:sz w:val="18"/>
                <w:szCs w:val="18"/>
              </w:rPr>
            </w:pPr>
            <w:r>
              <w:rPr>
                <w:rFonts w:ascii="宋体" w:eastAsia="宋体" w:hAnsi="宋体" w:cs="宋体"/>
                <w:sz w:val="18"/>
                <w:szCs w:val="18"/>
              </w:rPr>
              <w:t>1.持续经营净利润（净亏损以“－”号填列）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19,097,494.33</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16,969,568.85</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200" w:firstLine="360"/>
              <w:rPr>
                <w:rFonts w:ascii="宋体" w:eastAsia="宋体" w:hAnsi="宋体" w:cs="宋体"/>
                <w:sz w:val="18"/>
                <w:szCs w:val="18"/>
              </w:rPr>
            </w:pPr>
            <w:r>
              <w:rPr>
                <w:rFonts w:ascii="宋体" w:eastAsia="宋体" w:hAnsi="宋体" w:cs="宋体"/>
                <w:sz w:val="18"/>
                <w:szCs w:val="18"/>
              </w:rPr>
              <w:t>2.终止经营净利润（净亏损以“－”号填列）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（二）按所有权归属分类</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200" w:firstLine="360"/>
              <w:rPr>
                <w:rFonts w:ascii="宋体" w:eastAsia="宋体" w:hAnsi="宋体" w:cs="宋体"/>
                <w:sz w:val="18"/>
                <w:szCs w:val="18"/>
              </w:rPr>
            </w:pPr>
            <w:r>
              <w:rPr>
                <w:rFonts w:ascii="宋体" w:eastAsia="宋体" w:hAnsi="宋体" w:cs="宋体"/>
                <w:sz w:val="18"/>
                <w:szCs w:val="18"/>
              </w:rPr>
              <w:t>1.归属于母公司股东的净利润（净亏损以“-”号填列）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10,033,662.80</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10,857,683.74</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200" w:firstLine="360"/>
              <w:rPr>
                <w:rFonts w:ascii="宋体" w:eastAsia="宋体" w:hAnsi="宋体" w:cs="宋体"/>
                <w:sz w:val="18"/>
                <w:szCs w:val="18"/>
              </w:rPr>
            </w:pPr>
            <w:r>
              <w:rPr>
                <w:rFonts w:ascii="宋体" w:eastAsia="宋体" w:hAnsi="宋体" w:cs="宋体"/>
                <w:sz w:val="18"/>
                <w:szCs w:val="18"/>
              </w:rPr>
              <w:lastRenderedPageBreak/>
              <w:t>2.少数股东损益（净亏损以“-”号填列）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9,063,831.53</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6,111,885.11</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六、其他综合收益的税后净额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归属母公司所有者的其他综合收益的税后净额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200" w:firstLine="360"/>
              <w:rPr>
                <w:rFonts w:ascii="宋体" w:eastAsia="宋体" w:hAnsi="宋体" w:cs="宋体"/>
                <w:sz w:val="18"/>
                <w:szCs w:val="18"/>
              </w:rPr>
            </w:pPr>
            <w:r>
              <w:rPr>
                <w:rFonts w:ascii="宋体" w:eastAsia="宋体" w:hAnsi="宋体" w:cs="宋体"/>
                <w:sz w:val="18"/>
                <w:szCs w:val="18"/>
              </w:rPr>
              <w:t>（一）不能重分类进损益的其他综合收益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300" w:firstLine="540"/>
              <w:rPr>
                <w:rFonts w:ascii="宋体" w:eastAsia="宋体" w:hAnsi="宋体" w:cs="宋体"/>
                <w:sz w:val="18"/>
                <w:szCs w:val="18"/>
              </w:rPr>
            </w:pPr>
            <w:r>
              <w:rPr>
                <w:rFonts w:ascii="宋体" w:eastAsia="宋体" w:hAnsi="宋体" w:cs="宋体"/>
                <w:sz w:val="18"/>
                <w:szCs w:val="18"/>
              </w:rPr>
              <w:t>1.重新计量设定受益计划变动额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300" w:firstLine="540"/>
              <w:rPr>
                <w:rFonts w:ascii="宋体" w:eastAsia="宋体" w:hAnsi="宋体" w:cs="宋体"/>
                <w:sz w:val="18"/>
                <w:szCs w:val="18"/>
              </w:rPr>
            </w:pPr>
            <w:r>
              <w:rPr>
                <w:rFonts w:ascii="宋体" w:eastAsia="宋体" w:hAnsi="宋体" w:cs="宋体"/>
                <w:sz w:val="18"/>
                <w:szCs w:val="18"/>
              </w:rPr>
              <w:t>2.权益法下不能转损益的其他综合收益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300" w:firstLine="540"/>
              <w:rPr>
                <w:rFonts w:ascii="宋体" w:eastAsia="宋体" w:hAnsi="宋体" w:cs="宋体"/>
                <w:sz w:val="18"/>
                <w:szCs w:val="18"/>
              </w:rPr>
            </w:pPr>
            <w:r>
              <w:rPr>
                <w:rFonts w:ascii="宋体" w:eastAsia="宋体" w:hAnsi="宋体" w:cs="宋体"/>
                <w:sz w:val="18"/>
                <w:szCs w:val="18"/>
              </w:rPr>
              <w:t>3.其他权益工具投资公允价值变动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300" w:firstLine="540"/>
              <w:rPr>
                <w:rFonts w:ascii="宋体" w:eastAsia="宋体" w:hAnsi="宋体" w:cs="宋体"/>
                <w:sz w:val="18"/>
                <w:szCs w:val="18"/>
              </w:rPr>
            </w:pPr>
            <w:r>
              <w:rPr>
                <w:rFonts w:ascii="宋体" w:eastAsia="宋体" w:hAnsi="宋体" w:cs="宋体"/>
                <w:sz w:val="18"/>
                <w:szCs w:val="18"/>
              </w:rPr>
              <w:t>4.企业自身信用风险公允价值变动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300" w:firstLine="540"/>
              <w:rPr>
                <w:rFonts w:ascii="宋体" w:eastAsia="宋体" w:hAnsi="宋体" w:cs="宋体"/>
                <w:sz w:val="18"/>
                <w:szCs w:val="18"/>
              </w:rPr>
            </w:pPr>
            <w:r>
              <w:rPr>
                <w:rFonts w:ascii="宋体" w:eastAsia="宋体" w:hAnsi="宋体" w:cs="宋体"/>
                <w:sz w:val="18"/>
                <w:szCs w:val="18"/>
              </w:rPr>
              <w:t>5.其他</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200" w:firstLine="360"/>
              <w:rPr>
                <w:rFonts w:ascii="宋体" w:eastAsia="宋体" w:hAnsi="宋体" w:cs="宋体"/>
                <w:sz w:val="18"/>
                <w:szCs w:val="18"/>
              </w:rPr>
            </w:pPr>
            <w:r>
              <w:rPr>
                <w:rFonts w:ascii="宋体" w:eastAsia="宋体" w:hAnsi="宋体" w:cs="宋体"/>
                <w:sz w:val="18"/>
                <w:szCs w:val="18"/>
              </w:rPr>
              <w:t>（二）将重分类进损益的其他综合收益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300" w:firstLine="540"/>
              <w:rPr>
                <w:rFonts w:ascii="宋体" w:eastAsia="宋体" w:hAnsi="宋体" w:cs="宋体"/>
                <w:sz w:val="18"/>
                <w:szCs w:val="18"/>
              </w:rPr>
            </w:pPr>
            <w:r>
              <w:rPr>
                <w:rFonts w:ascii="宋体" w:eastAsia="宋体" w:hAnsi="宋体" w:cs="宋体"/>
                <w:sz w:val="18"/>
                <w:szCs w:val="18"/>
              </w:rPr>
              <w:t>1.权益法下可转损益的其他综合收益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300" w:firstLine="540"/>
              <w:rPr>
                <w:rFonts w:ascii="宋体" w:eastAsia="宋体" w:hAnsi="宋体" w:cs="宋体"/>
                <w:sz w:val="18"/>
                <w:szCs w:val="18"/>
              </w:rPr>
            </w:pPr>
            <w:r>
              <w:rPr>
                <w:rFonts w:ascii="宋体" w:eastAsia="宋体" w:hAnsi="宋体" w:cs="宋体"/>
                <w:sz w:val="18"/>
                <w:szCs w:val="18"/>
              </w:rPr>
              <w:t>2.其他债权投资公允价值变动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300" w:firstLine="540"/>
              <w:rPr>
                <w:rFonts w:ascii="宋体" w:eastAsia="宋体" w:hAnsi="宋体" w:cs="宋体"/>
                <w:sz w:val="18"/>
                <w:szCs w:val="18"/>
              </w:rPr>
            </w:pPr>
            <w:r>
              <w:rPr>
                <w:rFonts w:ascii="宋体" w:eastAsia="宋体" w:hAnsi="宋体" w:cs="宋体"/>
                <w:sz w:val="18"/>
                <w:szCs w:val="18"/>
              </w:rPr>
              <w:t>3.金融资产重分类计入其他综合收益的金额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300" w:firstLine="540"/>
              <w:rPr>
                <w:rFonts w:ascii="宋体" w:eastAsia="宋体" w:hAnsi="宋体" w:cs="宋体"/>
                <w:sz w:val="18"/>
                <w:szCs w:val="18"/>
              </w:rPr>
            </w:pPr>
            <w:r>
              <w:rPr>
                <w:rFonts w:ascii="宋体" w:eastAsia="宋体" w:hAnsi="宋体" w:cs="宋体"/>
                <w:sz w:val="18"/>
                <w:szCs w:val="18"/>
              </w:rPr>
              <w:t>4.其他债权投资信用减值准备</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300" w:firstLine="540"/>
              <w:rPr>
                <w:rFonts w:ascii="宋体" w:eastAsia="宋体" w:hAnsi="宋体" w:cs="宋体"/>
                <w:sz w:val="18"/>
                <w:szCs w:val="18"/>
              </w:rPr>
            </w:pPr>
            <w:r>
              <w:rPr>
                <w:rFonts w:ascii="宋体" w:eastAsia="宋体" w:hAnsi="宋体" w:cs="宋体"/>
                <w:sz w:val="18"/>
                <w:szCs w:val="18"/>
              </w:rPr>
              <w:t>5.现金流量套期储备</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300" w:firstLine="540"/>
              <w:rPr>
                <w:rFonts w:ascii="宋体" w:eastAsia="宋体" w:hAnsi="宋体" w:cs="宋体"/>
                <w:sz w:val="18"/>
                <w:szCs w:val="18"/>
              </w:rPr>
            </w:pPr>
            <w:r>
              <w:rPr>
                <w:rFonts w:ascii="宋体" w:eastAsia="宋体" w:hAnsi="宋体" w:cs="宋体"/>
                <w:sz w:val="18"/>
                <w:szCs w:val="18"/>
              </w:rPr>
              <w:t>6.外币财务报表折算差额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300" w:firstLine="540"/>
              <w:rPr>
                <w:rFonts w:ascii="宋体" w:eastAsia="宋体" w:hAnsi="宋体" w:cs="宋体"/>
                <w:sz w:val="18"/>
                <w:szCs w:val="18"/>
              </w:rPr>
            </w:pPr>
            <w:r>
              <w:rPr>
                <w:rFonts w:ascii="宋体" w:eastAsia="宋体" w:hAnsi="宋体" w:cs="宋体"/>
                <w:sz w:val="18"/>
                <w:szCs w:val="18"/>
              </w:rPr>
              <w:t>7.其他</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归属于少数股东的其他综合收益的税后净额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七、综合收益总额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19,097,494.33</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16,969,568.85</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（一）归属于母公司所有者的综合收益总额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10,033,662.80</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10,857,683.74</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（二）归属于少数股东的综合收益总额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9,063,831.53</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6,111,885.11</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八、每股收益：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（一）基本每股收益</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0.0285</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0.0308</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（二）稀释每股收益</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0.0285</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0.0308</w:t>
            </w:r>
          </w:p>
        </w:tc>
      </w:tr>
    </w:tbl>
    <w:p w:rsidR="00EC6359" w:rsidRDefault="000D04B8">
      <w:pPr>
        <w:spacing w:line="240" w:lineRule="exact"/>
        <w:rPr>
          <w:rFonts w:ascii="宋体" w:eastAsia="宋体" w:hAnsi="宋体" w:cs="宋体"/>
          <w:sz w:val="18"/>
          <w:szCs w:val="18"/>
        </w:rPr>
      </w:pPr>
      <w:r>
        <w:rPr>
          <w:rFonts w:ascii="宋体" w:eastAsia="宋体" w:hAnsi="宋体" w:cs="宋体"/>
          <w:sz w:val="18"/>
          <w:szCs w:val="18"/>
        </w:rPr>
        <w:t>本期发生同一控制下企业合并的，被合并方在合并前实现的净利润为：元，上期被合并方实现的净利润为：元。</w:t>
      </w:r>
    </w:p>
    <w:p w:rsidR="00EC6359" w:rsidRDefault="000D04B8">
      <w:pPr>
        <w:spacing w:line="240" w:lineRule="exact"/>
        <w:rPr>
          <w:rFonts w:ascii="宋体" w:eastAsia="宋体" w:hAnsi="宋体" w:cs="宋体"/>
          <w:sz w:val="18"/>
          <w:szCs w:val="18"/>
        </w:rPr>
      </w:pPr>
      <w:r>
        <w:rPr>
          <w:rFonts w:ascii="宋体" w:eastAsia="宋体" w:hAnsi="宋体" w:cs="宋体"/>
          <w:sz w:val="18"/>
          <w:szCs w:val="18"/>
        </w:rPr>
        <w:t>法定代表人：王新玲    主管会计工作负责人：于志民    会计机构负责人：靳德柱</w:t>
      </w:r>
    </w:p>
    <w:p w:rsidR="00EC6359" w:rsidRDefault="000D04B8">
      <w:pPr>
        <w:pStyle w:val="3"/>
        <w:spacing w:line="280" w:lineRule="exact"/>
        <w:jc w:val="left"/>
        <w:rPr>
          <w:rFonts w:ascii="宋体" w:hAnsi="宋体" w:cs="宋体"/>
          <w:b/>
          <w:bCs/>
        </w:rPr>
      </w:pPr>
      <w:bookmarkStart w:id="13" w:name="_Toc988901"/>
      <w:r>
        <w:rPr>
          <w:rFonts w:ascii="宋体" w:hAnsi="宋体" w:cs="宋体"/>
          <w:b/>
          <w:bCs/>
        </w:rPr>
        <w:t>3、合并年初到报告期末现金流量表</w:t>
      </w:r>
      <w:bookmarkEnd w:id="13"/>
    </w:p>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单位：元</w:t>
      </w:r>
    </w:p>
    <w:tbl>
      <w:tblPr>
        <w:tblW w:w="9639" w:type="dxa"/>
        <w:tblInd w:w="10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3213"/>
        <w:gridCol w:w="3213"/>
        <w:gridCol w:w="3213"/>
      </w:tblGrid>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jc w:val="center"/>
              <w:rPr>
                <w:rFonts w:ascii="宋体" w:eastAsia="宋体" w:hAnsi="宋体" w:cs="宋体"/>
                <w:sz w:val="18"/>
                <w:szCs w:val="18"/>
              </w:rPr>
            </w:pPr>
            <w:r>
              <w:rPr>
                <w:rFonts w:ascii="宋体" w:eastAsia="宋体" w:hAnsi="宋体" w:cs="宋体"/>
                <w:sz w:val="18"/>
                <w:szCs w:val="18"/>
              </w:rPr>
              <w:t>上期发生额</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一、经营活动产生的现金流量：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销售商品、提供劳务收到的现金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908,550,381.07</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946,426,296.97</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客户存款和同业存放款项净增加额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向中央银行借款净增加额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向其他金融机构拆入资金净增加额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收到原保险合同保费取得的现金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收到再保业务现金净额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保户储金及投资款净增加额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收取利息、手续费及佣金的现金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拆入资金净增加额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回购业务资金净增加额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代理买卖证券收到的现金净额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收到的税费返还</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20,898,576.89</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37,048,050.56</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110,104,544.09</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175,054,165.28</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经营活动现金流入小计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1,039,553,502.05</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1,158,528,512.81</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购买商品、接受劳务支付的现金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656,233,616.56</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705,156,778.19</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客户贷款及垫款净增加额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存放中央银行和同业款项净增加额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支付原保险合同赔付款项的现金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拆出资金净增加额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支付利息、手续费及佣金的现金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支付保单红利的现金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支付给职工及为职工支付的现金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165,042,059.38</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167,592,451.62</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支付的各项税费</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90,428,515.23</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103,399,994.95</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104,046,795.94</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107,701,800.86</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经营活动现金流出小计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1,015,750,987.11</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1,083,851,025.62</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经营活动产生的现金流量净额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23,802,514.94</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74,677,487.19</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二、投资活动产生的现金流量：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收回投资收到的现金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取得投资收益收到的现金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10,633,772.12</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处置固定资产、无形资产和其他长期资产收回的现金净额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7,739,400.00</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5,056,290.00</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处置子公司及其他营业单位收到的现金净额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投资活动现金流入小计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7,739,400.00</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15,690,062.12</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购建固定资产、无形资产和其他长期资产支付的现金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92,715,401.03</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268,396,007.00</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投资支付的现金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2,044,542.08</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6,000.00</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质押贷款净增加额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取得子公司及其他营业单位支付的现金净额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投资活动现金流出小计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94,759,943.11</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268,402,007.00</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投资活动产生的现金流量净额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-87,020,543.11</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-252,711,944.88</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三、筹资活动产生的现金流量：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EC6359"/>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吸收投资收到的现金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39,050,000.00</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其中：子公司吸收少数股东投资收到的现金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39,050,000.00</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取得借款收到的现金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1,728,663,594.00</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1,810,414,834.00</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收到其他与筹资活动有关的现金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1,620,130.55</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129,449.58</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筹资活动现金流入小计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1,730,283,724.55</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1,849,594,283.58</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before="40" w:after="40" w:line="240" w:lineRule="exact"/>
              <w:ind w:firstLineChars="100" w:firstLine="180"/>
              <w:rPr>
                <w:rFonts w:ascii="宋体" w:eastAsia="宋体" w:hAnsi="宋体" w:cs="宋体"/>
                <w:sz w:val="18"/>
                <w:szCs w:val="18"/>
              </w:rPr>
            </w:pPr>
            <w:r>
              <w:rPr>
                <w:rFonts w:ascii="宋体" w:eastAsia="宋体" w:hAnsi="宋体" w:cs="宋体"/>
                <w:sz w:val="18"/>
                <w:szCs w:val="18"/>
              </w:rPr>
              <w:t>偿还债务支付的现金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1,575,011,930.98</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1,465,560,246.62</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分配股利、利润或偿付利息支付的现金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104,870,162.74</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110,225,126.66</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200" w:firstLine="360"/>
              <w:rPr>
                <w:rFonts w:ascii="宋体" w:eastAsia="宋体" w:hAnsi="宋体" w:cs="宋体"/>
                <w:sz w:val="18"/>
                <w:szCs w:val="18"/>
              </w:rPr>
            </w:pPr>
            <w:r>
              <w:rPr>
                <w:rFonts w:ascii="宋体" w:eastAsia="宋体" w:hAnsi="宋体" w:cs="宋体"/>
                <w:sz w:val="18"/>
                <w:szCs w:val="18"/>
              </w:rPr>
              <w:t>其中：子公司支付给少数股东的股利、利润</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950,000.00</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EC6359">
            <w:pPr>
              <w:spacing w:line="240" w:lineRule="exact"/>
              <w:jc w:val="right"/>
              <w:rPr>
                <w:rFonts w:ascii="宋体" w:eastAsia="宋体" w:hAnsi="宋体" w:cs="宋体"/>
                <w:sz w:val="18"/>
                <w:szCs w:val="18"/>
              </w:rPr>
            </w:pP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t>支付其他与筹资活动有关的现金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35,230,987.19</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129,164,304.56</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筹资活动现金流出小计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1,715,113,080.91</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1,704,949,677.84</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筹资活动产生的现金流量净额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15,170,643.64</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144,644,605.74</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四、汇率变动对现金及现金等价物的影响</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24.85</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48.75</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五、现金及现金等价物净增加额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-48,047,359.68</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-33,389,803.20</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ind w:firstLineChars="100" w:firstLine="180"/>
              <w:rPr>
                <w:rFonts w:ascii="宋体" w:eastAsia="宋体" w:hAnsi="宋体" w:cs="宋体"/>
                <w:sz w:val="18"/>
                <w:szCs w:val="18"/>
              </w:rPr>
            </w:pPr>
            <w:r>
              <w:rPr>
                <w:rFonts w:ascii="宋体" w:eastAsia="宋体" w:hAnsi="宋体" w:cs="宋体"/>
                <w:sz w:val="18"/>
                <w:szCs w:val="18"/>
              </w:rPr>
              <w:lastRenderedPageBreak/>
              <w:t>加：期初现金及现金等价物余额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351,981,197.14</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394,205,822.94</w:t>
            </w:r>
          </w:p>
        </w:tc>
      </w:tr>
      <w:tr w:rsidR="00EC6359">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C6359" w:rsidRDefault="000D04B8">
            <w:pPr>
              <w:spacing w:line="240" w:lineRule="exact"/>
              <w:rPr>
                <w:rFonts w:ascii="宋体" w:eastAsia="宋体" w:hAnsi="宋体" w:cs="宋体"/>
                <w:sz w:val="18"/>
                <w:szCs w:val="18"/>
              </w:rPr>
            </w:pPr>
            <w:r>
              <w:rPr>
                <w:rFonts w:ascii="宋体" w:eastAsia="宋体" w:hAnsi="宋体" w:cs="宋体"/>
                <w:sz w:val="18"/>
                <w:szCs w:val="18"/>
              </w:rPr>
              <w:t>六、期末现金及现金等价物余额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303,933,837.46</w:t>
            </w:r>
          </w:p>
        </w:tc>
        <w:tc>
          <w:tcPr>
            <w:tcW w:w="3213" w:type="dxa"/>
            <w:tcBorders>
              <w:top w:val="single" w:sz="2" w:space="0" w:color="auto"/>
              <w:left w:val="single" w:sz="2" w:space="0" w:color="auto"/>
              <w:bottom w:val="single" w:sz="2" w:space="0" w:color="auto"/>
              <w:right w:val="single" w:sz="2" w:space="0" w:color="auto"/>
            </w:tcBorders>
            <w:vAlign w:val="center"/>
          </w:tcPr>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360,816,019.74</w:t>
            </w:r>
          </w:p>
        </w:tc>
      </w:tr>
    </w:tbl>
    <w:p w:rsidR="00EC6359" w:rsidRDefault="000D04B8">
      <w:pPr>
        <w:pStyle w:val="2"/>
        <w:spacing w:before="300" w:after="300" w:line="280" w:lineRule="exact"/>
        <w:rPr>
          <w:rFonts w:ascii="宋体" w:eastAsia="宋体" w:hAnsi="宋体" w:cs="宋体"/>
          <w:b/>
          <w:bCs/>
          <w:sz w:val="25"/>
          <w:szCs w:val="25"/>
        </w:rPr>
      </w:pPr>
      <w:bookmarkStart w:id="14" w:name="_Toc988902"/>
      <w:r>
        <w:rPr>
          <w:rFonts w:ascii="宋体" w:eastAsia="宋体" w:hAnsi="宋体" w:cs="宋体"/>
          <w:b/>
          <w:bCs/>
          <w:sz w:val="25"/>
          <w:szCs w:val="25"/>
        </w:rPr>
        <w:t>（二） 2023年起首次执行新会计准则调整首次执行当年年初财务报表相关项目情况</w:t>
      </w:r>
      <w:bookmarkEnd w:id="14"/>
    </w:p>
    <w:p w:rsidR="00EC6359" w:rsidRDefault="000D04B8">
      <w:pPr>
        <w:spacing w:before="40" w:after="40" w:line="240" w:lineRule="exact"/>
        <w:rPr>
          <w:rFonts w:ascii="宋体" w:eastAsia="宋体" w:hAnsi="宋体" w:cs="宋体"/>
          <w:sz w:val="18"/>
          <w:szCs w:val="18"/>
        </w:rPr>
      </w:pPr>
      <w:r>
        <w:rPr>
          <w:rFonts w:ascii="宋体" w:eastAsia="宋体" w:hAnsi="宋体" w:cs="宋体"/>
          <w:sz w:val="18"/>
          <w:szCs w:val="18"/>
        </w:rPr>
        <w:sym w:font="Wingdings 2" w:char="F052"/>
      </w:r>
      <w:r>
        <w:rPr>
          <w:rFonts w:ascii="宋体" w:eastAsia="宋体" w:hAnsi="宋体" w:cs="宋体"/>
          <w:sz w:val="18"/>
          <w:szCs w:val="18"/>
        </w:rPr>
        <w:t>适用 □不适用</w:t>
      </w:r>
    </w:p>
    <w:p w:rsidR="00EC6359" w:rsidRDefault="000D04B8">
      <w:pPr>
        <w:spacing w:before="100" w:after="100" w:line="240" w:lineRule="exact"/>
        <w:rPr>
          <w:rFonts w:ascii="宋体" w:eastAsia="宋体" w:hAnsi="宋体" w:cs="宋体"/>
          <w:sz w:val="18"/>
          <w:szCs w:val="18"/>
        </w:rPr>
      </w:pPr>
      <w:r>
        <w:rPr>
          <w:rFonts w:ascii="宋体" w:eastAsia="宋体" w:hAnsi="宋体" w:cs="宋体"/>
          <w:sz w:val="18"/>
          <w:szCs w:val="18"/>
        </w:rPr>
        <w:t>调整情况说明</w:t>
      </w:r>
    </w:p>
    <w:p w:rsidR="000748D8" w:rsidRDefault="000D04B8">
      <w:pPr>
        <w:pStyle w:val="a3"/>
        <w:divId w:val="910165706"/>
        <w:rPr>
          <w:sz w:val="18"/>
          <w:szCs w:val="18"/>
        </w:rPr>
      </w:pPr>
      <w:r>
        <w:rPr>
          <w:rFonts w:hint="eastAsia"/>
          <w:sz w:val="18"/>
          <w:szCs w:val="18"/>
        </w:rPr>
        <w:t>财政部于2022年11月30日发布实施《企业会计准则解释第16号》，其中“关于单项交易产生的资产和负债相关的递延所得税不适用初始确认豁免的会计处理”规定，自2023年1月1日起施行。对于在首次执行该规定的财务报表列报最早期间的期初因适用该规定的单项交易而确认的租赁负债和使用权资产，以及确认的弃置义务相关预计负债和对应的相关资产，产生应纳税暂时性差异和可抵扣暂时性差异的，本公司按照该规定和《企业会计准则第18号——所得税》的规定，将累计影响数调整财务报表列报最早期间的期初留存收益及其他相关财务报表项目。具体调整如下：</w:t>
      </w:r>
    </w:p>
    <w:p w:rsidR="000748D8" w:rsidRDefault="000D04B8">
      <w:pPr>
        <w:pStyle w:val="a3"/>
        <w:divId w:val="910165706"/>
        <w:rPr>
          <w:sz w:val="18"/>
          <w:szCs w:val="18"/>
        </w:rPr>
      </w:pPr>
      <w:r>
        <w:rPr>
          <w:rFonts w:hint="eastAsia"/>
          <w:sz w:val="18"/>
          <w:szCs w:val="18"/>
        </w:rPr>
        <w:t> </w:t>
      </w:r>
    </w:p>
    <w:tbl>
      <w:tblPr>
        <w:tblW w:w="9417" w:type="dxa"/>
        <w:tblCellMar>
          <w:left w:w="0" w:type="dxa"/>
          <w:right w:w="0" w:type="dxa"/>
        </w:tblCellMar>
        <w:tblLook w:val="04A0" w:firstRow="1" w:lastRow="0" w:firstColumn="1" w:lastColumn="0" w:noHBand="0" w:noVBand="1"/>
      </w:tblPr>
      <w:tblGrid>
        <w:gridCol w:w="2269"/>
        <w:gridCol w:w="2675"/>
        <w:gridCol w:w="2363"/>
        <w:gridCol w:w="2110"/>
      </w:tblGrid>
      <w:tr w:rsidR="000748D8" w:rsidRPr="00EC6C3A" w:rsidTr="00C53B85">
        <w:trPr>
          <w:divId w:val="910165706"/>
          <w:trHeight w:val="307"/>
        </w:trPr>
        <w:tc>
          <w:tcPr>
            <w:tcW w:w="9417" w:type="dxa"/>
            <w:gridSpan w:val="4"/>
            <w:tcBorders>
              <w:top w:val="single" w:sz="8" w:space="0" w:color="auto"/>
              <w:left w:val="single" w:sz="8" w:space="0" w:color="auto"/>
              <w:bottom w:val="single" w:sz="8" w:space="0" w:color="auto"/>
              <w:right w:val="single" w:sz="8" w:space="0" w:color="auto"/>
            </w:tcBorders>
            <w:noWrap/>
            <w:vAlign w:val="center"/>
            <w:hideMark/>
          </w:tcPr>
          <w:p w:rsidR="000748D8" w:rsidRPr="00EC6C3A" w:rsidRDefault="000D04B8">
            <w:pPr>
              <w:jc w:val="center"/>
              <w:rPr>
                <w:b/>
                <w:bCs/>
                <w:color w:val="000000"/>
                <w:sz w:val="18"/>
                <w:szCs w:val="18"/>
              </w:rPr>
            </w:pPr>
            <w:r w:rsidRPr="00EC6C3A">
              <w:rPr>
                <w:rFonts w:hint="eastAsia"/>
                <w:b/>
                <w:bCs/>
                <w:color w:val="000000"/>
                <w:sz w:val="18"/>
                <w:szCs w:val="18"/>
              </w:rPr>
              <w:t>合并资产负债表</w:t>
            </w:r>
          </w:p>
        </w:tc>
      </w:tr>
      <w:tr w:rsidR="000748D8" w:rsidRPr="00EC6C3A" w:rsidTr="00C53B85">
        <w:trPr>
          <w:divId w:val="910165706"/>
          <w:trHeight w:val="307"/>
        </w:trPr>
        <w:tc>
          <w:tcPr>
            <w:tcW w:w="0" w:type="auto"/>
            <w:tcBorders>
              <w:top w:val="single" w:sz="4" w:space="0" w:color="auto"/>
              <w:left w:val="single" w:sz="4" w:space="0" w:color="auto"/>
              <w:bottom w:val="single" w:sz="4" w:space="0" w:color="auto"/>
              <w:right w:val="single" w:sz="4" w:space="0" w:color="auto"/>
            </w:tcBorders>
            <w:noWrap/>
            <w:vAlign w:val="center"/>
            <w:hideMark/>
          </w:tcPr>
          <w:p w:rsidR="000748D8" w:rsidRPr="00EC6C3A" w:rsidRDefault="000D04B8">
            <w:pPr>
              <w:jc w:val="center"/>
              <w:rPr>
                <w:rFonts w:asciiTheme="minorEastAsia" w:hAnsiTheme="minorEastAsia"/>
                <w:b/>
                <w:bCs/>
                <w:color w:val="000000"/>
                <w:sz w:val="18"/>
                <w:szCs w:val="18"/>
              </w:rPr>
            </w:pPr>
            <w:r w:rsidRPr="00EC6C3A">
              <w:rPr>
                <w:rFonts w:asciiTheme="minorEastAsia" w:hAnsiTheme="minorEastAsia" w:hint="eastAsia"/>
                <w:b/>
                <w:bCs/>
                <w:color w:val="000000"/>
                <w:sz w:val="18"/>
                <w:szCs w:val="18"/>
              </w:rPr>
              <w:t>项目</w:t>
            </w:r>
          </w:p>
        </w:tc>
        <w:tc>
          <w:tcPr>
            <w:tcW w:w="0" w:type="auto"/>
            <w:tcBorders>
              <w:top w:val="nil"/>
              <w:left w:val="nil"/>
              <w:bottom w:val="single" w:sz="8" w:space="0" w:color="auto"/>
              <w:right w:val="single" w:sz="8" w:space="0" w:color="auto"/>
            </w:tcBorders>
            <w:noWrap/>
            <w:vAlign w:val="center"/>
            <w:hideMark/>
          </w:tcPr>
          <w:p w:rsidR="000748D8" w:rsidRPr="00EC6C3A" w:rsidRDefault="000D04B8">
            <w:pPr>
              <w:jc w:val="right"/>
              <w:rPr>
                <w:rFonts w:asciiTheme="minorEastAsia" w:hAnsiTheme="minorEastAsia"/>
                <w:b/>
                <w:bCs/>
                <w:color w:val="000000"/>
                <w:sz w:val="18"/>
                <w:szCs w:val="18"/>
              </w:rPr>
            </w:pPr>
            <w:r w:rsidRPr="00EC6C3A">
              <w:rPr>
                <w:rFonts w:asciiTheme="minorEastAsia" w:hAnsiTheme="minorEastAsia"/>
                <w:b/>
                <w:bCs/>
                <w:color w:val="000000"/>
                <w:sz w:val="18"/>
                <w:szCs w:val="18"/>
              </w:rPr>
              <w:t>2022年12月31日</w:t>
            </w:r>
          </w:p>
        </w:tc>
        <w:tc>
          <w:tcPr>
            <w:tcW w:w="0" w:type="auto"/>
            <w:tcBorders>
              <w:top w:val="nil"/>
              <w:left w:val="nil"/>
              <w:bottom w:val="single" w:sz="8" w:space="0" w:color="auto"/>
              <w:right w:val="single" w:sz="8" w:space="0" w:color="auto"/>
            </w:tcBorders>
            <w:noWrap/>
            <w:vAlign w:val="center"/>
            <w:hideMark/>
          </w:tcPr>
          <w:p w:rsidR="000748D8" w:rsidRPr="00EC6C3A" w:rsidRDefault="000D04B8">
            <w:pPr>
              <w:jc w:val="right"/>
              <w:rPr>
                <w:rFonts w:asciiTheme="minorEastAsia" w:hAnsiTheme="minorEastAsia"/>
                <w:b/>
                <w:bCs/>
                <w:color w:val="000000"/>
                <w:sz w:val="18"/>
                <w:szCs w:val="18"/>
              </w:rPr>
            </w:pPr>
            <w:r w:rsidRPr="00EC6C3A">
              <w:rPr>
                <w:rFonts w:asciiTheme="minorEastAsia" w:hAnsiTheme="minorEastAsia"/>
                <w:b/>
                <w:bCs/>
                <w:color w:val="000000"/>
                <w:sz w:val="18"/>
                <w:szCs w:val="18"/>
              </w:rPr>
              <w:t>2023年1月1日</w:t>
            </w:r>
          </w:p>
        </w:tc>
        <w:tc>
          <w:tcPr>
            <w:tcW w:w="0" w:type="auto"/>
            <w:tcBorders>
              <w:top w:val="nil"/>
              <w:left w:val="nil"/>
              <w:bottom w:val="single" w:sz="8" w:space="0" w:color="auto"/>
              <w:right w:val="single" w:sz="8" w:space="0" w:color="auto"/>
            </w:tcBorders>
            <w:noWrap/>
            <w:vAlign w:val="center"/>
            <w:hideMark/>
          </w:tcPr>
          <w:p w:rsidR="000748D8" w:rsidRPr="00EC6C3A" w:rsidRDefault="000D04B8">
            <w:pPr>
              <w:jc w:val="center"/>
              <w:rPr>
                <w:rFonts w:asciiTheme="minorEastAsia" w:hAnsiTheme="minorEastAsia"/>
                <w:b/>
                <w:bCs/>
                <w:color w:val="000000"/>
                <w:sz w:val="18"/>
                <w:szCs w:val="18"/>
              </w:rPr>
            </w:pPr>
            <w:r w:rsidRPr="00EC6C3A">
              <w:rPr>
                <w:rFonts w:asciiTheme="minorEastAsia" w:hAnsiTheme="minorEastAsia" w:hint="eastAsia"/>
                <w:b/>
                <w:bCs/>
                <w:color w:val="000000"/>
                <w:sz w:val="18"/>
                <w:szCs w:val="18"/>
              </w:rPr>
              <w:t>调整数</w:t>
            </w:r>
          </w:p>
        </w:tc>
      </w:tr>
      <w:tr w:rsidR="000748D8" w:rsidRPr="00EC6C3A" w:rsidTr="00C53B85">
        <w:trPr>
          <w:divId w:val="910165706"/>
          <w:trHeight w:val="307"/>
        </w:trPr>
        <w:tc>
          <w:tcPr>
            <w:tcW w:w="0" w:type="auto"/>
            <w:tcBorders>
              <w:top w:val="nil"/>
              <w:left w:val="single" w:sz="8" w:space="0" w:color="auto"/>
              <w:bottom w:val="single" w:sz="8" w:space="0" w:color="auto"/>
              <w:right w:val="single" w:sz="8" w:space="0" w:color="auto"/>
            </w:tcBorders>
            <w:noWrap/>
            <w:vAlign w:val="center"/>
            <w:hideMark/>
          </w:tcPr>
          <w:p w:rsidR="000748D8" w:rsidRPr="00EC6C3A" w:rsidRDefault="000D04B8">
            <w:pPr>
              <w:rPr>
                <w:color w:val="000000"/>
                <w:sz w:val="18"/>
                <w:szCs w:val="18"/>
              </w:rPr>
            </w:pPr>
            <w:r w:rsidRPr="00EC6C3A">
              <w:rPr>
                <w:rFonts w:hint="eastAsia"/>
                <w:color w:val="000000"/>
                <w:sz w:val="18"/>
                <w:szCs w:val="18"/>
              </w:rPr>
              <w:t>递延所得税资产</w:t>
            </w:r>
          </w:p>
        </w:tc>
        <w:tc>
          <w:tcPr>
            <w:tcW w:w="0" w:type="auto"/>
            <w:tcBorders>
              <w:top w:val="nil"/>
              <w:left w:val="nil"/>
              <w:bottom w:val="single" w:sz="8" w:space="0" w:color="auto"/>
              <w:right w:val="single" w:sz="8" w:space="0" w:color="auto"/>
            </w:tcBorders>
            <w:noWrap/>
            <w:vAlign w:val="center"/>
            <w:hideMark/>
          </w:tcPr>
          <w:p w:rsidR="000748D8" w:rsidRPr="00EC6C3A" w:rsidRDefault="000D04B8">
            <w:pPr>
              <w:jc w:val="right"/>
              <w:rPr>
                <w:rFonts w:asciiTheme="minorEastAsia" w:hAnsiTheme="minorEastAsia"/>
                <w:color w:val="000000"/>
                <w:sz w:val="18"/>
                <w:szCs w:val="18"/>
              </w:rPr>
            </w:pPr>
            <w:r w:rsidRPr="00EC6C3A">
              <w:rPr>
                <w:rFonts w:asciiTheme="minorEastAsia" w:hAnsiTheme="minorEastAsia"/>
                <w:color w:val="000000"/>
                <w:sz w:val="18"/>
                <w:szCs w:val="18"/>
              </w:rPr>
              <w:t>83,597,422.63</w:t>
            </w:r>
          </w:p>
        </w:tc>
        <w:tc>
          <w:tcPr>
            <w:tcW w:w="0" w:type="auto"/>
            <w:tcBorders>
              <w:top w:val="nil"/>
              <w:left w:val="nil"/>
              <w:bottom w:val="single" w:sz="8" w:space="0" w:color="auto"/>
              <w:right w:val="single" w:sz="8" w:space="0" w:color="auto"/>
            </w:tcBorders>
            <w:noWrap/>
            <w:vAlign w:val="center"/>
            <w:hideMark/>
          </w:tcPr>
          <w:p w:rsidR="000748D8" w:rsidRPr="00EC6C3A" w:rsidRDefault="000D04B8">
            <w:pPr>
              <w:jc w:val="right"/>
              <w:rPr>
                <w:rFonts w:asciiTheme="minorEastAsia" w:hAnsiTheme="minorEastAsia"/>
                <w:color w:val="000000"/>
                <w:sz w:val="18"/>
                <w:szCs w:val="18"/>
              </w:rPr>
            </w:pPr>
            <w:r w:rsidRPr="00EC6C3A">
              <w:rPr>
                <w:rFonts w:asciiTheme="minorEastAsia" w:hAnsiTheme="minorEastAsia"/>
                <w:color w:val="000000"/>
                <w:sz w:val="18"/>
                <w:szCs w:val="18"/>
              </w:rPr>
              <w:t>110,936,250.72</w:t>
            </w:r>
          </w:p>
        </w:tc>
        <w:tc>
          <w:tcPr>
            <w:tcW w:w="0" w:type="auto"/>
            <w:tcBorders>
              <w:top w:val="nil"/>
              <w:left w:val="nil"/>
              <w:bottom w:val="single" w:sz="8" w:space="0" w:color="auto"/>
              <w:right w:val="single" w:sz="8" w:space="0" w:color="auto"/>
            </w:tcBorders>
            <w:noWrap/>
            <w:vAlign w:val="center"/>
            <w:hideMark/>
          </w:tcPr>
          <w:p w:rsidR="000748D8" w:rsidRPr="00EC6C3A" w:rsidRDefault="000D04B8">
            <w:pPr>
              <w:jc w:val="right"/>
              <w:rPr>
                <w:rFonts w:asciiTheme="minorEastAsia" w:hAnsiTheme="minorEastAsia"/>
                <w:color w:val="000000"/>
                <w:sz w:val="18"/>
                <w:szCs w:val="18"/>
              </w:rPr>
            </w:pPr>
            <w:r w:rsidRPr="00EC6C3A">
              <w:rPr>
                <w:rFonts w:asciiTheme="minorEastAsia" w:hAnsiTheme="minorEastAsia"/>
                <w:color w:val="000000"/>
                <w:sz w:val="18"/>
                <w:szCs w:val="18"/>
              </w:rPr>
              <w:t>27,338,828.09</w:t>
            </w:r>
          </w:p>
        </w:tc>
      </w:tr>
      <w:tr w:rsidR="000748D8" w:rsidRPr="00EC6C3A" w:rsidTr="00C53B85">
        <w:trPr>
          <w:divId w:val="910165706"/>
          <w:trHeight w:val="307"/>
        </w:trPr>
        <w:tc>
          <w:tcPr>
            <w:tcW w:w="0" w:type="auto"/>
            <w:tcBorders>
              <w:top w:val="nil"/>
              <w:left w:val="single" w:sz="8" w:space="0" w:color="auto"/>
              <w:bottom w:val="single" w:sz="8" w:space="0" w:color="auto"/>
              <w:right w:val="single" w:sz="8" w:space="0" w:color="auto"/>
            </w:tcBorders>
            <w:noWrap/>
            <w:vAlign w:val="center"/>
            <w:hideMark/>
          </w:tcPr>
          <w:p w:rsidR="000748D8" w:rsidRPr="00EC6C3A" w:rsidRDefault="000D04B8">
            <w:pPr>
              <w:jc w:val="both"/>
              <w:rPr>
                <w:rFonts w:ascii="宋体" w:hAnsi="宋体"/>
                <w:color w:val="000000"/>
                <w:sz w:val="18"/>
                <w:szCs w:val="18"/>
              </w:rPr>
            </w:pPr>
            <w:r w:rsidRPr="00EC6C3A">
              <w:rPr>
                <w:rFonts w:hint="eastAsia"/>
                <w:color w:val="000000"/>
                <w:sz w:val="18"/>
                <w:szCs w:val="18"/>
              </w:rPr>
              <w:t>递延所得税负债</w:t>
            </w:r>
          </w:p>
        </w:tc>
        <w:tc>
          <w:tcPr>
            <w:tcW w:w="0" w:type="auto"/>
            <w:tcBorders>
              <w:top w:val="nil"/>
              <w:left w:val="nil"/>
              <w:bottom w:val="single" w:sz="8" w:space="0" w:color="auto"/>
              <w:right w:val="single" w:sz="8" w:space="0" w:color="auto"/>
            </w:tcBorders>
            <w:noWrap/>
            <w:vAlign w:val="center"/>
            <w:hideMark/>
          </w:tcPr>
          <w:p w:rsidR="000748D8" w:rsidRPr="00EC6C3A" w:rsidRDefault="000D04B8">
            <w:pPr>
              <w:jc w:val="right"/>
              <w:rPr>
                <w:rFonts w:asciiTheme="minorEastAsia" w:hAnsiTheme="minorEastAsia"/>
                <w:color w:val="000000"/>
                <w:sz w:val="18"/>
                <w:szCs w:val="18"/>
              </w:rPr>
            </w:pPr>
            <w:r w:rsidRPr="00EC6C3A">
              <w:rPr>
                <w:rFonts w:asciiTheme="minorEastAsia" w:hAnsiTheme="minorEastAsia"/>
                <w:color w:val="000000"/>
                <w:sz w:val="18"/>
                <w:szCs w:val="18"/>
              </w:rPr>
              <w:t>1,199,248.82</w:t>
            </w:r>
          </w:p>
        </w:tc>
        <w:tc>
          <w:tcPr>
            <w:tcW w:w="0" w:type="auto"/>
            <w:tcBorders>
              <w:top w:val="nil"/>
              <w:left w:val="nil"/>
              <w:bottom w:val="single" w:sz="8" w:space="0" w:color="auto"/>
              <w:right w:val="single" w:sz="8" w:space="0" w:color="auto"/>
            </w:tcBorders>
            <w:noWrap/>
            <w:vAlign w:val="center"/>
            <w:hideMark/>
          </w:tcPr>
          <w:p w:rsidR="000748D8" w:rsidRPr="00EC6C3A" w:rsidRDefault="000D04B8">
            <w:pPr>
              <w:jc w:val="right"/>
              <w:rPr>
                <w:rFonts w:asciiTheme="minorEastAsia" w:hAnsiTheme="minorEastAsia"/>
                <w:color w:val="000000"/>
                <w:sz w:val="18"/>
                <w:szCs w:val="18"/>
              </w:rPr>
            </w:pPr>
            <w:r w:rsidRPr="00EC6C3A">
              <w:rPr>
                <w:rFonts w:asciiTheme="minorEastAsia" w:hAnsiTheme="minorEastAsia"/>
                <w:color w:val="000000"/>
                <w:sz w:val="18"/>
                <w:szCs w:val="18"/>
              </w:rPr>
              <w:t>27,859,265.93</w:t>
            </w:r>
          </w:p>
        </w:tc>
        <w:tc>
          <w:tcPr>
            <w:tcW w:w="0" w:type="auto"/>
            <w:tcBorders>
              <w:top w:val="nil"/>
              <w:left w:val="nil"/>
              <w:bottom w:val="single" w:sz="8" w:space="0" w:color="auto"/>
              <w:right w:val="single" w:sz="8" w:space="0" w:color="auto"/>
            </w:tcBorders>
            <w:noWrap/>
            <w:vAlign w:val="center"/>
            <w:hideMark/>
          </w:tcPr>
          <w:p w:rsidR="000748D8" w:rsidRPr="00EC6C3A" w:rsidRDefault="000D04B8">
            <w:pPr>
              <w:jc w:val="right"/>
              <w:rPr>
                <w:rFonts w:asciiTheme="minorEastAsia" w:hAnsiTheme="minorEastAsia"/>
                <w:color w:val="000000"/>
                <w:sz w:val="18"/>
                <w:szCs w:val="18"/>
              </w:rPr>
            </w:pPr>
            <w:r w:rsidRPr="00EC6C3A">
              <w:rPr>
                <w:rFonts w:asciiTheme="minorEastAsia" w:hAnsiTheme="minorEastAsia"/>
                <w:color w:val="000000"/>
                <w:sz w:val="18"/>
                <w:szCs w:val="18"/>
              </w:rPr>
              <w:t>26,660,017.11</w:t>
            </w:r>
          </w:p>
        </w:tc>
      </w:tr>
      <w:tr w:rsidR="000748D8" w:rsidRPr="00EC6C3A" w:rsidTr="00C53B85">
        <w:trPr>
          <w:divId w:val="910165706"/>
          <w:trHeight w:val="307"/>
        </w:trPr>
        <w:tc>
          <w:tcPr>
            <w:tcW w:w="0" w:type="auto"/>
            <w:tcBorders>
              <w:top w:val="nil"/>
              <w:left w:val="single" w:sz="8" w:space="0" w:color="auto"/>
              <w:bottom w:val="single" w:sz="8" w:space="0" w:color="auto"/>
              <w:right w:val="single" w:sz="8" w:space="0" w:color="auto"/>
            </w:tcBorders>
            <w:noWrap/>
            <w:vAlign w:val="center"/>
            <w:hideMark/>
          </w:tcPr>
          <w:p w:rsidR="000748D8" w:rsidRPr="00EC6C3A" w:rsidRDefault="000D04B8">
            <w:pPr>
              <w:jc w:val="both"/>
              <w:rPr>
                <w:rFonts w:ascii="宋体" w:hAnsi="宋体"/>
                <w:color w:val="000000"/>
                <w:sz w:val="18"/>
                <w:szCs w:val="18"/>
              </w:rPr>
            </w:pPr>
            <w:r w:rsidRPr="00EC6C3A">
              <w:rPr>
                <w:rFonts w:hint="eastAsia"/>
                <w:color w:val="000000"/>
                <w:sz w:val="18"/>
                <w:szCs w:val="18"/>
              </w:rPr>
              <w:t>未分配利润</w:t>
            </w:r>
          </w:p>
        </w:tc>
        <w:tc>
          <w:tcPr>
            <w:tcW w:w="0" w:type="auto"/>
            <w:tcBorders>
              <w:top w:val="nil"/>
              <w:left w:val="nil"/>
              <w:bottom w:val="single" w:sz="8" w:space="0" w:color="auto"/>
              <w:right w:val="single" w:sz="8" w:space="0" w:color="auto"/>
            </w:tcBorders>
            <w:noWrap/>
            <w:vAlign w:val="center"/>
            <w:hideMark/>
          </w:tcPr>
          <w:p w:rsidR="000748D8" w:rsidRPr="00EC6C3A" w:rsidRDefault="000D04B8">
            <w:pPr>
              <w:jc w:val="right"/>
              <w:rPr>
                <w:rFonts w:asciiTheme="minorEastAsia" w:hAnsiTheme="minorEastAsia"/>
                <w:color w:val="000000"/>
                <w:sz w:val="18"/>
                <w:szCs w:val="18"/>
              </w:rPr>
            </w:pPr>
            <w:r w:rsidRPr="00EC6C3A">
              <w:rPr>
                <w:rFonts w:asciiTheme="minorEastAsia" w:hAnsiTheme="minorEastAsia"/>
                <w:color w:val="000000"/>
                <w:sz w:val="18"/>
                <w:szCs w:val="18"/>
              </w:rPr>
              <w:t>593,751,183.85</w:t>
            </w:r>
          </w:p>
        </w:tc>
        <w:tc>
          <w:tcPr>
            <w:tcW w:w="0" w:type="auto"/>
            <w:tcBorders>
              <w:top w:val="nil"/>
              <w:left w:val="nil"/>
              <w:bottom w:val="single" w:sz="8" w:space="0" w:color="auto"/>
              <w:right w:val="single" w:sz="8" w:space="0" w:color="auto"/>
            </w:tcBorders>
            <w:noWrap/>
            <w:vAlign w:val="center"/>
            <w:hideMark/>
          </w:tcPr>
          <w:p w:rsidR="000748D8" w:rsidRPr="00EC6C3A" w:rsidRDefault="000D04B8">
            <w:pPr>
              <w:jc w:val="right"/>
              <w:rPr>
                <w:rFonts w:asciiTheme="minorEastAsia" w:hAnsiTheme="minorEastAsia"/>
                <w:color w:val="000000"/>
                <w:sz w:val="18"/>
                <w:szCs w:val="18"/>
              </w:rPr>
            </w:pPr>
            <w:r w:rsidRPr="00EC6C3A">
              <w:rPr>
                <w:rFonts w:asciiTheme="minorEastAsia" w:hAnsiTheme="minorEastAsia"/>
                <w:color w:val="000000"/>
                <w:sz w:val="18"/>
                <w:szCs w:val="18"/>
              </w:rPr>
              <w:t>594,429,994.83</w:t>
            </w:r>
          </w:p>
        </w:tc>
        <w:tc>
          <w:tcPr>
            <w:tcW w:w="0" w:type="auto"/>
            <w:tcBorders>
              <w:top w:val="nil"/>
              <w:left w:val="nil"/>
              <w:bottom w:val="single" w:sz="8" w:space="0" w:color="auto"/>
              <w:right w:val="single" w:sz="8" w:space="0" w:color="auto"/>
            </w:tcBorders>
            <w:noWrap/>
            <w:vAlign w:val="center"/>
            <w:hideMark/>
          </w:tcPr>
          <w:p w:rsidR="000748D8" w:rsidRPr="00EC6C3A" w:rsidRDefault="000D04B8">
            <w:pPr>
              <w:jc w:val="right"/>
              <w:rPr>
                <w:rFonts w:asciiTheme="minorEastAsia" w:hAnsiTheme="minorEastAsia"/>
                <w:color w:val="000000"/>
                <w:sz w:val="18"/>
                <w:szCs w:val="18"/>
              </w:rPr>
            </w:pPr>
            <w:r w:rsidRPr="00EC6C3A">
              <w:rPr>
                <w:rFonts w:asciiTheme="minorEastAsia" w:hAnsiTheme="minorEastAsia"/>
                <w:color w:val="000000"/>
                <w:sz w:val="18"/>
                <w:szCs w:val="18"/>
              </w:rPr>
              <w:t>678,810.98</w:t>
            </w:r>
          </w:p>
        </w:tc>
      </w:tr>
    </w:tbl>
    <w:p w:rsidR="000748D8" w:rsidRPr="00EC6C3A" w:rsidRDefault="000D04B8">
      <w:pPr>
        <w:pStyle w:val="a3"/>
        <w:divId w:val="910165706"/>
        <w:rPr>
          <w:sz w:val="18"/>
          <w:szCs w:val="18"/>
        </w:rPr>
      </w:pPr>
      <w:r w:rsidRPr="00EC6C3A">
        <w:rPr>
          <w:rFonts w:hint="eastAsia"/>
          <w:sz w:val="18"/>
          <w:szCs w:val="18"/>
        </w:rPr>
        <w:t> </w:t>
      </w:r>
    </w:p>
    <w:tbl>
      <w:tblPr>
        <w:tblW w:w="9389" w:type="dxa"/>
        <w:tblCellMar>
          <w:left w:w="0" w:type="dxa"/>
          <w:right w:w="0" w:type="dxa"/>
        </w:tblCellMar>
        <w:tblLook w:val="04A0" w:firstRow="1" w:lastRow="0" w:firstColumn="1" w:lastColumn="0" w:noHBand="0" w:noVBand="1"/>
      </w:tblPr>
      <w:tblGrid>
        <w:gridCol w:w="1536"/>
        <w:gridCol w:w="3162"/>
        <w:gridCol w:w="3006"/>
        <w:gridCol w:w="1685"/>
      </w:tblGrid>
      <w:tr w:rsidR="000748D8" w:rsidRPr="00EC6C3A" w:rsidTr="00C53B85">
        <w:trPr>
          <w:divId w:val="910165706"/>
          <w:trHeight w:val="323"/>
        </w:trPr>
        <w:tc>
          <w:tcPr>
            <w:tcW w:w="9389" w:type="dxa"/>
            <w:gridSpan w:val="4"/>
            <w:tcBorders>
              <w:top w:val="single" w:sz="8" w:space="0" w:color="auto"/>
              <w:left w:val="single" w:sz="8" w:space="0" w:color="auto"/>
              <w:bottom w:val="single" w:sz="8" w:space="0" w:color="auto"/>
              <w:right w:val="single" w:sz="8" w:space="0" w:color="auto"/>
            </w:tcBorders>
            <w:noWrap/>
            <w:vAlign w:val="center"/>
            <w:hideMark/>
          </w:tcPr>
          <w:p w:rsidR="000748D8" w:rsidRPr="00EC6C3A" w:rsidRDefault="000D04B8">
            <w:pPr>
              <w:jc w:val="center"/>
              <w:rPr>
                <w:b/>
                <w:bCs/>
                <w:color w:val="000000"/>
                <w:sz w:val="18"/>
                <w:szCs w:val="18"/>
              </w:rPr>
            </w:pPr>
            <w:r w:rsidRPr="00EC6C3A">
              <w:rPr>
                <w:rFonts w:hint="eastAsia"/>
                <w:b/>
                <w:bCs/>
                <w:color w:val="000000"/>
                <w:sz w:val="18"/>
                <w:szCs w:val="18"/>
              </w:rPr>
              <w:t>合并利润表</w:t>
            </w:r>
          </w:p>
        </w:tc>
      </w:tr>
      <w:tr w:rsidR="000748D8" w:rsidRPr="00EC6C3A" w:rsidTr="00C53B85">
        <w:trPr>
          <w:divId w:val="910165706"/>
          <w:trHeight w:val="647"/>
        </w:trPr>
        <w:tc>
          <w:tcPr>
            <w:tcW w:w="0" w:type="auto"/>
            <w:tcBorders>
              <w:top w:val="nil"/>
              <w:left w:val="single" w:sz="8" w:space="0" w:color="auto"/>
              <w:bottom w:val="single" w:sz="8" w:space="0" w:color="auto"/>
              <w:right w:val="single" w:sz="8" w:space="0" w:color="auto"/>
            </w:tcBorders>
            <w:noWrap/>
            <w:vAlign w:val="center"/>
            <w:hideMark/>
          </w:tcPr>
          <w:p w:rsidR="000748D8" w:rsidRPr="00EC6C3A" w:rsidRDefault="000D04B8">
            <w:pPr>
              <w:jc w:val="center"/>
              <w:rPr>
                <w:b/>
                <w:bCs/>
                <w:color w:val="000000"/>
                <w:sz w:val="18"/>
                <w:szCs w:val="18"/>
              </w:rPr>
            </w:pPr>
            <w:r w:rsidRPr="00EC6C3A">
              <w:rPr>
                <w:rStyle w:val="a4"/>
                <w:rFonts w:hint="eastAsia"/>
                <w:color w:val="000000"/>
                <w:sz w:val="18"/>
                <w:szCs w:val="18"/>
              </w:rPr>
              <w:t>项目</w:t>
            </w:r>
          </w:p>
        </w:tc>
        <w:tc>
          <w:tcPr>
            <w:tcW w:w="2690" w:type="dxa"/>
            <w:tcBorders>
              <w:top w:val="nil"/>
              <w:left w:val="nil"/>
              <w:bottom w:val="single" w:sz="8" w:space="0" w:color="auto"/>
              <w:right w:val="single" w:sz="8" w:space="0" w:color="auto"/>
            </w:tcBorders>
            <w:vAlign w:val="center"/>
            <w:hideMark/>
          </w:tcPr>
          <w:p w:rsidR="000748D8" w:rsidRPr="00EC6C3A" w:rsidRDefault="000D04B8">
            <w:pPr>
              <w:jc w:val="center"/>
              <w:rPr>
                <w:rFonts w:asciiTheme="minorEastAsia" w:hAnsiTheme="minorEastAsia"/>
                <w:b/>
                <w:bCs/>
                <w:color w:val="000000"/>
                <w:sz w:val="18"/>
                <w:szCs w:val="18"/>
              </w:rPr>
            </w:pPr>
            <w:r w:rsidRPr="00EC6C3A">
              <w:rPr>
                <w:rStyle w:val="a4"/>
                <w:rFonts w:asciiTheme="minorEastAsia" w:hAnsiTheme="minorEastAsia"/>
                <w:color w:val="000000"/>
                <w:sz w:val="18"/>
                <w:szCs w:val="18"/>
              </w:rPr>
              <w:t>2022</w:t>
            </w:r>
            <w:r w:rsidRPr="00EC6C3A">
              <w:rPr>
                <w:rStyle w:val="a4"/>
                <w:rFonts w:asciiTheme="minorEastAsia" w:hAnsiTheme="minorEastAsia" w:hint="eastAsia"/>
                <w:color w:val="000000"/>
                <w:sz w:val="18"/>
                <w:szCs w:val="18"/>
              </w:rPr>
              <w:t>年</w:t>
            </w:r>
            <w:r w:rsidRPr="00EC6C3A">
              <w:rPr>
                <w:rStyle w:val="a4"/>
                <w:rFonts w:asciiTheme="minorEastAsia" w:hAnsiTheme="minorEastAsia"/>
                <w:color w:val="000000"/>
                <w:sz w:val="18"/>
                <w:szCs w:val="18"/>
              </w:rPr>
              <w:t>1-9</w:t>
            </w:r>
            <w:r w:rsidRPr="00EC6C3A">
              <w:rPr>
                <w:rStyle w:val="a4"/>
                <w:rFonts w:asciiTheme="minorEastAsia" w:hAnsiTheme="minorEastAsia" w:hint="eastAsia"/>
                <w:color w:val="000000"/>
                <w:sz w:val="18"/>
                <w:szCs w:val="18"/>
              </w:rPr>
              <w:t>月</w:t>
            </w:r>
            <w:r w:rsidRPr="00EC6C3A">
              <w:rPr>
                <w:rFonts w:asciiTheme="minorEastAsia" w:hAnsiTheme="minorEastAsia"/>
                <w:b/>
                <w:bCs/>
                <w:color w:val="000000"/>
                <w:sz w:val="18"/>
                <w:szCs w:val="18"/>
              </w:rPr>
              <w:br/>
            </w:r>
            <w:r w:rsidRPr="00EC6C3A">
              <w:rPr>
                <w:rStyle w:val="a4"/>
                <w:rFonts w:asciiTheme="minorEastAsia" w:hAnsiTheme="minorEastAsia" w:hint="eastAsia"/>
                <w:color w:val="000000"/>
                <w:sz w:val="18"/>
                <w:szCs w:val="18"/>
              </w:rPr>
              <w:t>（调整前）</w:t>
            </w:r>
          </w:p>
        </w:tc>
        <w:tc>
          <w:tcPr>
            <w:tcW w:w="2503" w:type="dxa"/>
            <w:tcBorders>
              <w:top w:val="nil"/>
              <w:left w:val="nil"/>
              <w:bottom w:val="single" w:sz="8" w:space="0" w:color="auto"/>
              <w:right w:val="single" w:sz="8" w:space="0" w:color="auto"/>
            </w:tcBorders>
            <w:vAlign w:val="center"/>
            <w:hideMark/>
          </w:tcPr>
          <w:p w:rsidR="000748D8" w:rsidRPr="00EC6C3A" w:rsidRDefault="000D04B8">
            <w:pPr>
              <w:jc w:val="center"/>
              <w:rPr>
                <w:rFonts w:asciiTheme="minorEastAsia" w:hAnsiTheme="minorEastAsia"/>
                <w:b/>
                <w:bCs/>
                <w:color w:val="000000"/>
                <w:sz w:val="18"/>
                <w:szCs w:val="18"/>
              </w:rPr>
            </w:pPr>
            <w:r w:rsidRPr="00EC6C3A">
              <w:rPr>
                <w:rStyle w:val="a4"/>
                <w:rFonts w:asciiTheme="minorEastAsia" w:hAnsiTheme="minorEastAsia"/>
                <w:color w:val="000000"/>
                <w:sz w:val="18"/>
                <w:szCs w:val="18"/>
              </w:rPr>
              <w:t>2022</w:t>
            </w:r>
            <w:r w:rsidRPr="00EC6C3A">
              <w:rPr>
                <w:rStyle w:val="a4"/>
                <w:rFonts w:asciiTheme="minorEastAsia" w:hAnsiTheme="minorEastAsia" w:hint="eastAsia"/>
                <w:color w:val="000000"/>
                <w:sz w:val="18"/>
                <w:szCs w:val="18"/>
              </w:rPr>
              <w:t>年</w:t>
            </w:r>
            <w:r w:rsidRPr="00EC6C3A">
              <w:rPr>
                <w:rStyle w:val="a4"/>
                <w:rFonts w:asciiTheme="minorEastAsia" w:hAnsiTheme="minorEastAsia"/>
                <w:color w:val="000000"/>
                <w:sz w:val="18"/>
                <w:szCs w:val="18"/>
              </w:rPr>
              <w:t>1-9</w:t>
            </w:r>
            <w:r w:rsidRPr="00EC6C3A">
              <w:rPr>
                <w:rStyle w:val="a4"/>
                <w:rFonts w:asciiTheme="minorEastAsia" w:hAnsiTheme="minorEastAsia" w:hint="eastAsia"/>
                <w:color w:val="000000"/>
                <w:sz w:val="18"/>
                <w:szCs w:val="18"/>
              </w:rPr>
              <w:t>月</w:t>
            </w:r>
            <w:r w:rsidRPr="00EC6C3A">
              <w:rPr>
                <w:rFonts w:asciiTheme="minorEastAsia" w:hAnsiTheme="minorEastAsia"/>
                <w:b/>
                <w:bCs/>
                <w:color w:val="000000"/>
                <w:sz w:val="18"/>
                <w:szCs w:val="18"/>
              </w:rPr>
              <w:br/>
            </w:r>
            <w:r w:rsidRPr="00EC6C3A">
              <w:rPr>
                <w:rStyle w:val="a4"/>
                <w:rFonts w:asciiTheme="minorEastAsia" w:hAnsiTheme="minorEastAsia" w:hint="eastAsia"/>
                <w:color w:val="000000"/>
                <w:sz w:val="18"/>
                <w:szCs w:val="18"/>
              </w:rPr>
              <w:t>（调整后）</w:t>
            </w:r>
          </w:p>
        </w:tc>
        <w:tc>
          <w:tcPr>
            <w:tcW w:w="0" w:type="auto"/>
            <w:tcBorders>
              <w:top w:val="nil"/>
              <w:left w:val="nil"/>
              <w:bottom w:val="single" w:sz="8" w:space="0" w:color="auto"/>
              <w:right w:val="single" w:sz="8" w:space="0" w:color="auto"/>
            </w:tcBorders>
            <w:noWrap/>
            <w:vAlign w:val="center"/>
            <w:hideMark/>
          </w:tcPr>
          <w:p w:rsidR="000748D8" w:rsidRPr="00EC6C3A" w:rsidRDefault="000D04B8">
            <w:pPr>
              <w:jc w:val="center"/>
              <w:rPr>
                <w:rFonts w:asciiTheme="minorEastAsia" w:hAnsiTheme="minorEastAsia"/>
                <w:b/>
                <w:bCs/>
                <w:color w:val="000000"/>
                <w:sz w:val="18"/>
                <w:szCs w:val="18"/>
              </w:rPr>
            </w:pPr>
            <w:r w:rsidRPr="00EC6C3A">
              <w:rPr>
                <w:rStyle w:val="a4"/>
                <w:rFonts w:asciiTheme="minorEastAsia" w:hAnsiTheme="minorEastAsia" w:hint="eastAsia"/>
                <w:color w:val="000000"/>
                <w:sz w:val="18"/>
                <w:szCs w:val="18"/>
              </w:rPr>
              <w:t>调整数</w:t>
            </w:r>
          </w:p>
        </w:tc>
      </w:tr>
      <w:tr w:rsidR="000748D8" w:rsidRPr="00EC6C3A" w:rsidTr="00C53B85">
        <w:trPr>
          <w:divId w:val="910165706"/>
          <w:trHeight w:val="323"/>
        </w:trPr>
        <w:tc>
          <w:tcPr>
            <w:tcW w:w="0" w:type="auto"/>
            <w:tcBorders>
              <w:top w:val="nil"/>
              <w:left w:val="single" w:sz="8" w:space="0" w:color="auto"/>
              <w:bottom w:val="single" w:sz="8" w:space="0" w:color="auto"/>
              <w:right w:val="single" w:sz="8" w:space="0" w:color="auto"/>
            </w:tcBorders>
            <w:noWrap/>
            <w:vAlign w:val="center"/>
            <w:hideMark/>
          </w:tcPr>
          <w:p w:rsidR="000748D8" w:rsidRPr="00EC6C3A" w:rsidRDefault="000D04B8">
            <w:pPr>
              <w:rPr>
                <w:color w:val="000000"/>
                <w:sz w:val="18"/>
                <w:szCs w:val="18"/>
              </w:rPr>
            </w:pPr>
            <w:r w:rsidRPr="00EC6C3A">
              <w:rPr>
                <w:rFonts w:hint="eastAsia"/>
                <w:color w:val="000000"/>
                <w:sz w:val="18"/>
                <w:szCs w:val="18"/>
              </w:rPr>
              <w:t>所得税费用</w:t>
            </w:r>
          </w:p>
        </w:tc>
        <w:tc>
          <w:tcPr>
            <w:tcW w:w="0" w:type="auto"/>
            <w:tcBorders>
              <w:top w:val="nil"/>
              <w:left w:val="nil"/>
              <w:bottom w:val="single" w:sz="8" w:space="0" w:color="auto"/>
              <w:right w:val="single" w:sz="8" w:space="0" w:color="auto"/>
            </w:tcBorders>
            <w:noWrap/>
            <w:vAlign w:val="center"/>
            <w:hideMark/>
          </w:tcPr>
          <w:p w:rsidR="000748D8" w:rsidRPr="00EC6C3A" w:rsidRDefault="000D04B8">
            <w:pPr>
              <w:jc w:val="right"/>
              <w:rPr>
                <w:rFonts w:asciiTheme="minorEastAsia" w:hAnsiTheme="minorEastAsia"/>
                <w:color w:val="000000"/>
                <w:sz w:val="18"/>
                <w:szCs w:val="18"/>
              </w:rPr>
            </w:pPr>
            <w:r w:rsidRPr="00EC6C3A">
              <w:rPr>
                <w:rFonts w:asciiTheme="minorEastAsia" w:hAnsiTheme="minorEastAsia"/>
                <w:color w:val="000000"/>
                <w:sz w:val="18"/>
                <w:szCs w:val="18"/>
              </w:rPr>
              <w:t>9,229,625.61</w:t>
            </w:r>
          </w:p>
        </w:tc>
        <w:tc>
          <w:tcPr>
            <w:tcW w:w="0" w:type="auto"/>
            <w:tcBorders>
              <w:top w:val="nil"/>
              <w:left w:val="nil"/>
              <w:bottom w:val="single" w:sz="8" w:space="0" w:color="auto"/>
              <w:right w:val="single" w:sz="8" w:space="0" w:color="auto"/>
            </w:tcBorders>
            <w:noWrap/>
            <w:vAlign w:val="center"/>
            <w:hideMark/>
          </w:tcPr>
          <w:p w:rsidR="000748D8" w:rsidRPr="00EC6C3A" w:rsidRDefault="000D04B8">
            <w:pPr>
              <w:jc w:val="right"/>
              <w:rPr>
                <w:rFonts w:asciiTheme="minorEastAsia" w:hAnsiTheme="minorEastAsia"/>
                <w:color w:val="000000"/>
                <w:sz w:val="18"/>
                <w:szCs w:val="18"/>
              </w:rPr>
            </w:pPr>
            <w:r w:rsidRPr="00EC6C3A">
              <w:rPr>
                <w:rFonts w:asciiTheme="minorEastAsia" w:hAnsiTheme="minorEastAsia"/>
                <w:color w:val="000000"/>
                <w:sz w:val="18"/>
                <w:szCs w:val="18"/>
              </w:rPr>
              <w:t>8,860,410.06</w:t>
            </w:r>
          </w:p>
        </w:tc>
        <w:tc>
          <w:tcPr>
            <w:tcW w:w="0" w:type="auto"/>
            <w:tcBorders>
              <w:top w:val="nil"/>
              <w:left w:val="nil"/>
              <w:bottom w:val="single" w:sz="8" w:space="0" w:color="auto"/>
              <w:right w:val="single" w:sz="8" w:space="0" w:color="auto"/>
            </w:tcBorders>
            <w:noWrap/>
            <w:vAlign w:val="center"/>
            <w:hideMark/>
          </w:tcPr>
          <w:p w:rsidR="000748D8" w:rsidRPr="00EC6C3A" w:rsidRDefault="000D04B8">
            <w:pPr>
              <w:jc w:val="right"/>
              <w:rPr>
                <w:rFonts w:asciiTheme="minorEastAsia" w:hAnsiTheme="minorEastAsia"/>
                <w:color w:val="000000"/>
                <w:sz w:val="18"/>
                <w:szCs w:val="18"/>
              </w:rPr>
            </w:pPr>
            <w:r w:rsidRPr="00EC6C3A">
              <w:rPr>
                <w:rFonts w:asciiTheme="minorEastAsia" w:hAnsiTheme="minorEastAsia"/>
                <w:color w:val="000000"/>
                <w:sz w:val="18"/>
                <w:szCs w:val="18"/>
              </w:rPr>
              <w:t>-369,215.55</w:t>
            </w:r>
          </w:p>
        </w:tc>
      </w:tr>
    </w:tbl>
    <w:p w:rsidR="000748D8" w:rsidRDefault="000D04B8">
      <w:pPr>
        <w:pStyle w:val="a3"/>
        <w:divId w:val="910165706"/>
        <w:rPr>
          <w:sz w:val="18"/>
          <w:szCs w:val="18"/>
        </w:rPr>
      </w:pPr>
      <w:r>
        <w:rPr>
          <w:rFonts w:hint="eastAsia"/>
          <w:sz w:val="18"/>
          <w:szCs w:val="18"/>
        </w:rPr>
        <w:t> </w:t>
      </w:r>
    </w:p>
    <w:p w:rsidR="00EC6359" w:rsidRDefault="000D04B8">
      <w:pPr>
        <w:pStyle w:val="2"/>
        <w:spacing w:before="300" w:after="300" w:line="280" w:lineRule="exact"/>
        <w:rPr>
          <w:rFonts w:ascii="宋体" w:eastAsia="宋体" w:hAnsi="宋体" w:cs="宋体"/>
          <w:b/>
          <w:bCs/>
          <w:sz w:val="25"/>
          <w:szCs w:val="25"/>
        </w:rPr>
      </w:pPr>
      <w:bookmarkStart w:id="15" w:name="_Toc988903"/>
      <w:r>
        <w:rPr>
          <w:rFonts w:ascii="宋体" w:eastAsia="宋体" w:hAnsi="宋体" w:cs="宋体"/>
          <w:b/>
          <w:bCs/>
          <w:sz w:val="25"/>
          <w:szCs w:val="25"/>
        </w:rPr>
        <w:t>（三） 审计报告</w:t>
      </w:r>
      <w:bookmarkEnd w:id="15"/>
    </w:p>
    <w:p w:rsidR="00EC6359" w:rsidRDefault="000D04B8">
      <w:pPr>
        <w:spacing w:before="40" w:after="40" w:line="240" w:lineRule="exact"/>
        <w:rPr>
          <w:rFonts w:ascii="宋体" w:eastAsia="宋体" w:hAnsi="宋体" w:cs="宋体"/>
          <w:sz w:val="18"/>
          <w:szCs w:val="18"/>
        </w:rPr>
      </w:pPr>
      <w:r>
        <w:rPr>
          <w:rFonts w:ascii="宋体" w:eastAsia="宋体" w:hAnsi="宋体" w:cs="宋体"/>
          <w:sz w:val="18"/>
          <w:szCs w:val="18"/>
        </w:rPr>
        <w:t>第三季度报告是否经过审计</w:t>
      </w:r>
    </w:p>
    <w:p w:rsidR="00EC6359" w:rsidRDefault="000D04B8">
      <w:pPr>
        <w:spacing w:before="40" w:after="40" w:line="240" w:lineRule="exact"/>
        <w:rPr>
          <w:rFonts w:ascii="宋体" w:eastAsia="宋体" w:hAnsi="宋体" w:cs="宋体"/>
          <w:sz w:val="18"/>
          <w:szCs w:val="18"/>
        </w:rPr>
      </w:pPr>
      <w:r>
        <w:rPr>
          <w:rFonts w:ascii="宋体" w:eastAsia="宋体" w:hAnsi="宋体" w:cs="宋体"/>
          <w:sz w:val="18"/>
          <w:szCs w:val="18"/>
        </w:rPr>
        <w:t xml:space="preserve">□是 </w:t>
      </w:r>
      <w:r>
        <w:rPr>
          <w:rFonts w:ascii="宋体" w:eastAsia="宋体" w:hAnsi="宋体" w:cs="宋体"/>
          <w:sz w:val="18"/>
          <w:szCs w:val="18"/>
        </w:rPr>
        <w:sym w:font="Wingdings 2" w:char="F052"/>
      </w:r>
      <w:r>
        <w:rPr>
          <w:rFonts w:ascii="宋体" w:eastAsia="宋体" w:hAnsi="宋体" w:cs="宋体"/>
          <w:sz w:val="18"/>
          <w:szCs w:val="18"/>
        </w:rPr>
        <w:t>否</w:t>
      </w:r>
    </w:p>
    <w:p w:rsidR="00EC6359" w:rsidRDefault="000D04B8">
      <w:pPr>
        <w:spacing w:before="40" w:after="40" w:line="240" w:lineRule="exact"/>
        <w:rPr>
          <w:rFonts w:ascii="宋体" w:eastAsia="宋体" w:hAnsi="宋体" w:cs="宋体"/>
          <w:sz w:val="18"/>
          <w:szCs w:val="18"/>
        </w:rPr>
      </w:pPr>
      <w:r>
        <w:rPr>
          <w:rFonts w:ascii="宋体" w:eastAsia="宋体" w:hAnsi="宋体" w:cs="宋体"/>
          <w:sz w:val="18"/>
          <w:szCs w:val="18"/>
        </w:rPr>
        <w:t>公司第三季度报告未经审计。</w:t>
      </w:r>
    </w:p>
    <w:p w:rsidR="00EC6359" w:rsidRDefault="000D04B8">
      <w:pPr>
        <w:spacing w:before="40" w:after="40" w:line="240" w:lineRule="exact"/>
        <w:jc w:val="right"/>
        <w:rPr>
          <w:rFonts w:ascii="宋体" w:eastAsia="宋体" w:hAnsi="宋体" w:cs="宋体"/>
          <w:sz w:val="18"/>
          <w:szCs w:val="18"/>
        </w:rPr>
      </w:pPr>
      <w:r>
        <w:rPr>
          <w:rFonts w:ascii="宋体" w:eastAsia="宋体" w:hAnsi="宋体" w:cs="宋体"/>
          <w:sz w:val="18"/>
          <w:szCs w:val="18"/>
        </w:rPr>
        <w:t>渤海水业股份有限公司董事会</w:t>
      </w:r>
    </w:p>
    <w:p w:rsidR="00EC6359" w:rsidRDefault="000D04B8">
      <w:pPr>
        <w:spacing w:line="240" w:lineRule="exact"/>
        <w:jc w:val="right"/>
        <w:rPr>
          <w:rFonts w:ascii="宋体" w:eastAsia="宋体" w:hAnsi="宋体" w:cs="宋体"/>
          <w:sz w:val="18"/>
          <w:szCs w:val="18"/>
        </w:rPr>
      </w:pPr>
      <w:r>
        <w:rPr>
          <w:rFonts w:ascii="宋体" w:eastAsia="宋体" w:hAnsi="宋体" w:cs="宋体"/>
          <w:sz w:val="18"/>
          <w:szCs w:val="18"/>
        </w:rPr>
        <w:t>2023年10月30日</w:t>
      </w:r>
    </w:p>
    <w:sectPr w:rsidR="00EC6359">
      <w:headerReference w:type="default" r:id="rId6"/>
      <w:footerReference w:type="default" r:id="rId7"/>
      <w:pgSz w:w="11905" w:h="16840"/>
      <w:pgMar w:top="1440" w:right="1134" w:bottom="1440" w:left="1134" w:header="850"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792" w:rsidRDefault="00A73792">
      <w:r>
        <w:separator/>
      </w:r>
    </w:p>
  </w:endnote>
  <w:endnote w:type="continuationSeparator" w:id="0">
    <w:p w:rsidR="00A73792" w:rsidRDefault="00A7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359" w:rsidRDefault="000D04B8">
    <w:pPr>
      <w:pStyle w:val="fotter1"/>
    </w:pPr>
    <w:r>
      <w:fldChar w:fldCharType="begin"/>
    </w:r>
    <w:r>
      <w:instrText>PAGE   \* MERGEFORMAT</w:instrText>
    </w:r>
    <w:r>
      <w:fldChar w:fldCharType="separate"/>
    </w:r>
    <w:r w:rsidR="004F3CD7">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792" w:rsidRDefault="00A73792">
      <w:r>
        <w:separator/>
      </w:r>
    </w:p>
  </w:footnote>
  <w:footnote w:type="continuationSeparator" w:id="0">
    <w:p w:rsidR="00A73792" w:rsidRDefault="00A73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359" w:rsidRDefault="000D04B8">
    <w:pPr>
      <w:pStyle w:val="Header1"/>
      <w:pBdr>
        <w:bottom w:val="single" w:sz="6" w:space="1" w:color="auto"/>
      </w:pBdr>
    </w:pPr>
    <w:r>
      <w:t>渤海水业股份有限公司2023年第三季度报告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C6359"/>
    <w:rsid w:val="000748D8"/>
    <w:rsid w:val="000B13DB"/>
    <w:rsid w:val="000D04B8"/>
    <w:rsid w:val="00140B12"/>
    <w:rsid w:val="003167C1"/>
    <w:rsid w:val="0035415A"/>
    <w:rsid w:val="003D3329"/>
    <w:rsid w:val="004F3CD7"/>
    <w:rsid w:val="0075031D"/>
    <w:rsid w:val="00773ADA"/>
    <w:rsid w:val="00886ADD"/>
    <w:rsid w:val="00892B06"/>
    <w:rsid w:val="008A5890"/>
    <w:rsid w:val="00A73792"/>
    <w:rsid w:val="00A92111"/>
    <w:rsid w:val="00B12B58"/>
    <w:rsid w:val="00BB53F7"/>
    <w:rsid w:val="00C24E22"/>
    <w:rsid w:val="00C53B85"/>
    <w:rsid w:val="00CE4E43"/>
    <w:rsid w:val="00D018A7"/>
    <w:rsid w:val="00EC6359"/>
    <w:rsid w:val="00EC6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E4D25E-CA42-45E8-9CF7-225B6AA5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2">
    <w:name w:val="heading 2"/>
    <w:basedOn w:val="a"/>
    <w:next w:val="a"/>
    <w:uiPriority w:val="9"/>
    <w:unhideWhenUsed/>
    <w:qFormat/>
    <w:pPr>
      <w:keepNext/>
      <w:keepLines/>
      <w:spacing w:before="156" w:after="156"/>
      <w:outlineLvl w:val="1"/>
    </w:pPr>
    <w:rPr>
      <w:szCs w:val="21"/>
    </w:rPr>
  </w:style>
  <w:style w:type="paragraph" w:styleId="3">
    <w:name w:val="heading 3"/>
    <w:basedOn w:val="a"/>
    <w:next w:val="a"/>
    <w:uiPriority w:val="99"/>
    <w:qFormat/>
    <w:rsid w:val="00B74129"/>
    <w:pPr>
      <w:keepNext/>
      <w:keepLines/>
      <w:spacing w:before="300" w:after="300" w:line="241" w:lineRule="auto"/>
      <w:jc w:val="both"/>
      <w:outlineLvl w:val="2"/>
    </w:pPr>
    <w:rPr>
      <w:rFonts w:eastAsia="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 1"/>
    <w:pPr>
      <w:jc w:val="right"/>
    </w:pPr>
    <w:rPr>
      <w:rFonts w:ascii="宋体" w:eastAsia="宋体"/>
      <w:sz w:val="18"/>
      <w:szCs w:val="18"/>
    </w:rPr>
  </w:style>
  <w:style w:type="paragraph" w:customStyle="1" w:styleId="headingh1">
    <w:name w:val="heading h1"/>
    <w:basedOn w:val="a"/>
    <w:next w:val="a"/>
    <w:uiPriority w:val="9"/>
    <w:qFormat/>
    <w:pPr>
      <w:keepNext/>
      <w:keepLines/>
      <w:spacing w:before="240" w:after="240" w:line="578" w:lineRule="auto"/>
      <w:outlineLvl w:val="0"/>
    </w:pPr>
    <w:rPr>
      <w:kern w:val="44"/>
      <w:sz w:val="44"/>
      <w:szCs w:val="44"/>
    </w:rPr>
  </w:style>
  <w:style w:type="paragraph" w:customStyle="1" w:styleId="fotter1">
    <w:name w:val="fotter 1"/>
    <w:pPr>
      <w:jc w:val="right"/>
    </w:pPr>
    <w:rPr>
      <w:rFonts w:ascii="宋体" w:eastAsia="宋体"/>
      <w:sz w:val="18"/>
      <w:szCs w:val="18"/>
    </w:rPr>
  </w:style>
  <w:style w:type="paragraph" w:styleId="1">
    <w:name w:val="toc 1"/>
    <w:basedOn w:val="a"/>
    <w:next w:val="a"/>
    <w:autoRedefine/>
    <w:uiPriority w:val="39"/>
  </w:style>
  <w:style w:type="paragraph" w:styleId="20">
    <w:name w:val="toc 2"/>
    <w:basedOn w:val="a"/>
    <w:next w:val="a"/>
    <w:autoRedefine/>
    <w:uiPriority w:val="39"/>
    <w:unhideWhenUsed/>
    <w:pPr>
      <w:ind w:leftChars="200" w:left="420"/>
    </w:pPr>
  </w:style>
  <w:style w:type="paragraph" w:styleId="a3">
    <w:name w:val="Normal (Web)"/>
    <w:basedOn w:val="a"/>
    <w:uiPriority w:val="99"/>
    <w:semiHidden/>
    <w:unhideWhenUsed/>
    <w:pPr>
      <w:widowControl/>
      <w:spacing w:before="100" w:beforeAutospacing="1" w:after="100" w:afterAutospacing="1"/>
    </w:pPr>
    <w:rPr>
      <w:rFonts w:ascii="宋体" w:eastAsia="宋体" w:hAnsi="宋体" w:cs="宋体"/>
      <w:kern w:val="0"/>
      <w:sz w:val="24"/>
      <w:szCs w:val="24"/>
    </w:r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8358">
      <w:bodyDiv w:val="1"/>
      <w:marLeft w:val="0"/>
      <w:marRight w:val="0"/>
      <w:marTop w:val="0"/>
      <w:marBottom w:val="0"/>
      <w:divBdr>
        <w:top w:val="none" w:sz="0" w:space="0" w:color="auto"/>
        <w:left w:val="none" w:sz="0" w:space="0" w:color="auto"/>
        <w:bottom w:val="none" w:sz="0" w:space="0" w:color="auto"/>
        <w:right w:val="none" w:sz="0" w:space="0" w:color="auto"/>
      </w:divBdr>
    </w:div>
    <w:div w:id="463503008">
      <w:bodyDiv w:val="1"/>
      <w:marLeft w:val="0"/>
      <w:marRight w:val="0"/>
      <w:marTop w:val="0"/>
      <w:marBottom w:val="0"/>
      <w:divBdr>
        <w:top w:val="none" w:sz="0" w:space="0" w:color="auto"/>
        <w:left w:val="none" w:sz="0" w:space="0" w:color="auto"/>
        <w:bottom w:val="none" w:sz="0" w:space="0" w:color="auto"/>
        <w:right w:val="none" w:sz="0" w:space="0" w:color="auto"/>
      </w:divBdr>
    </w:div>
    <w:div w:id="910165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1732</Words>
  <Characters>9873</Characters>
  <Application>Microsoft Office Word</Application>
  <DocSecurity>0</DocSecurity>
  <Lines>82</Lines>
  <Paragraphs>23</Paragraphs>
  <ScaleCrop>false</ScaleCrop>
  <Company>Microsoft</Company>
  <LinksUpToDate>false</LinksUpToDate>
  <CharactersWithSpaces>11582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王梓</cp:lastModifiedBy>
  <cp:revision>15</cp:revision>
  <dcterms:created xsi:type="dcterms:W3CDTF">2023-10-19T03:47:00Z</dcterms:created>
  <dcterms:modified xsi:type="dcterms:W3CDTF">2023-10-26T02:43:00Z</dcterms:modified>
</cp:coreProperties>
</file>